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>
        <w:rPr>
          <w:sz w:val="28"/>
          <w:szCs w:val="28"/>
        </w:rPr>
        <w:br/>
        <w:t>ЧРЕЗВЫЧАЙНЫМ СИТУАЦИЯМ И ЛИКВИДАЦИИ ПОСЛЕДСТВИЙ</w:t>
      </w:r>
    </w:p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СТИХИЙНЫХ БЕДСТВИЙ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Default="006B4A61" w:rsidP="00824BD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23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8C199B">
              <w:rPr>
                <w:b w:val="0"/>
                <w:sz w:val="28"/>
                <w:szCs w:val="28"/>
                <w:u w:val="single"/>
              </w:rPr>
              <w:t>0</w:t>
            </w:r>
            <w:r w:rsidR="00824BDD">
              <w:rPr>
                <w:b w:val="0"/>
                <w:sz w:val="28"/>
                <w:szCs w:val="28"/>
                <w:u w:val="single"/>
              </w:rPr>
              <w:t>5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162471">
              <w:rPr>
                <w:b w:val="0"/>
                <w:sz w:val="28"/>
                <w:szCs w:val="28"/>
                <w:u w:val="single"/>
              </w:rPr>
              <w:t>1</w:t>
            </w:r>
            <w:r w:rsidR="00626557">
              <w:rPr>
                <w:b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6B4A61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824BDD">
              <w:rPr>
                <w:b w:val="0"/>
                <w:sz w:val="28"/>
                <w:szCs w:val="28"/>
                <w:u w:val="single"/>
              </w:rPr>
              <w:t>2</w:t>
            </w:r>
            <w:r w:rsidR="00353E43">
              <w:rPr>
                <w:b w:val="0"/>
                <w:sz w:val="28"/>
                <w:szCs w:val="28"/>
                <w:u w:val="single"/>
              </w:rPr>
              <w:t>3</w:t>
            </w:r>
            <w:r w:rsidR="006B4A61">
              <w:rPr>
                <w:b w:val="0"/>
                <w:sz w:val="28"/>
                <w:szCs w:val="28"/>
                <w:u w:val="single"/>
              </w:rPr>
              <w:t>0</w:t>
            </w:r>
          </w:p>
        </w:tc>
      </w:tr>
    </w:tbl>
    <w:p w:rsidR="006D3753" w:rsidRDefault="006D3753" w:rsidP="009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Default="006B4A61" w:rsidP="006B4A61">
      <w:pPr>
        <w:spacing w:after="0" w:line="240" w:lineRule="auto"/>
        <w:jc w:val="center"/>
        <w:rPr>
          <w:color w:val="000000"/>
          <w:lang w:bidi="ru-RU"/>
        </w:rPr>
      </w:pPr>
      <w:r w:rsidRPr="006B4A6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D55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4A61">
        <w:rPr>
          <w:rFonts w:ascii="Times New Roman" w:eastAsia="Times New Roman" w:hAnsi="Times New Roman" w:cs="Times New Roman"/>
          <w:b/>
          <w:bCs/>
          <w:sz w:val="28"/>
          <w:szCs w:val="28"/>
        </w:rPr>
        <w:t>об уполномоченных на решение задач в области</w:t>
      </w:r>
      <w:r w:rsidR="00D55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4A61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гражданской обороны структурных подразделениях(работниках) организаций</w:t>
      </w:r>
    </w:p>
    <w:p w:rsidR="00626557" w:rsidRPr="00E0497F" w:rsidRDefault="00E0497F" w:rsidP="007B1ACB">
      <w:pPr>
        <w:pStyle w:val="22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sz w:val="22"/>
          <w:szCs w:val="22"/>
          <w:lang w:bidi="ru-RU"/>
        </w:rPr>
      </w:pPr>
      <w:r w:rsidRPr="00833906">
        <w:rPr>
          <w:color w:val="000000"/>
          <w:sz w:val="22"/>
          <w:szCs w:val="22"/>
          <w:lang w:bidi="ru-RU"/>
        </w:rPr>
        <w:t>(вступил в силу 14.07.2017)</w:t>
      </w:r>
    </w:p>
    <w:p w:rsidR="00E0497F" w:rsidRDefault="00E0497F" w:rsidP="007B1ACB">
      <w:pPr>
        <w:pStyle w:val="22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6D3753" w:rsidRPr="006D3753" w:rsidRDefault="006B4A61" w:rsidP="00353E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B4A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постановлением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2"/>
      </w:r>
      <w:r w:rsidR="006D3753" w:rsidRPr="0012211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</w:t>
      </w:r>
      <w:r w:rsidR="006D3753" w:rsidRPr="006D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B4A61" w:rsidRDefault="006B4A61" w:rsidP="006B4A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61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уполномоченных на решение задач в области гражданской обороны структурных подразделениях (работниках) организаций.</w:t>
      </w:r>
    </w:p>
    <w:p w:rsidR="00D7655F" w:rsidRPr="006B4A61" w:rsidRDefault="006B4A61" w:rsidP="006B4A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61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приказы МЧС России от 31.07.2006 № 440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 в Министерстве юстиции Российской Федерации 31 октября 2006 г., регистрационный № 8421), от 11.09.2013 № 600 «О внесении изменений в приказ МЧС России от 31.07.2006 № 440» (зарегистрирован в Министерстве юстиции Российской Федерации 15 октября 2013 г., регистрационный № 30193) и от 14.07.2016 № 372 «О внесении изменений в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31.07.2006 № 440» (зарегистрирован в Министерстве юстиции Российской Федерации 10 августа 2016 г., регистрационный № 43187).</w:t>
      </w:r>
    </w:p>
    <w:p w:rsidR="00070084" w:rsidRPr="00687FC6" w:rsidRDefault="00353E43" w:rsidP="00687F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165212</wp:posOffset>
            </wp:positionV>
            <wp:extent cx="1666875" cy="1047750"/>
            <wp:effectExtent l="0" t="0" r="0" b="0"/>
            <wp:wrapNone/>
            <wp:docPr id="2" name="Рисунок 2" descr="C:\Users\Алексей\Desktop\при435435каз МЧС 2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ри435435каз МЧС 27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AE9" w:rsidRDefault="006F3AE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659" w:rsidRDefault="006F765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1D" w:rsidRDefault="00215BBF" w:rsidP="006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99556F">
        <w:rPr>
          <w:rFonts w:ascii="Times New Roman" w:eastAsia="Times New Roman" w:hAnsi="Times New Roman" w:cs="Times New Roman"/>
          <w:sz w:val="28"/>
          <w:szCs w:val="28"/>
        </w:rPr>
        <w:t>В.А. Пучков</w:t>
      </w:r>
    </w:p>
    <w:p w:rsidR="0012211D" w:rsidRDefault="001221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94DA8" w:rsidRPr="00F11CCD" w:rsidRDefault="0012211D" w:rsidP="00F11CCD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C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br/>
        <w:t>к приказу МЧС России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F11CCD" w:rsidRPr="00F11CC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4BDD" w:rsidRPr="00F11C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824BDD" w:rsidRPr="00F11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E43" w:rsidRPr="00F11C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CCD" w:rsidRPr="00F11CC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2211D" w:rsidRPr="00F11CCD" w:rsidRDefault="0012211D" w:rsidP="00F11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1CCD" w:rsidRPr="00F11CCD" w:rsidRDefault="00F11CCD" w:rsidP="00F11CCD">
      <w:pPr>
        <w:pStyle w:val="4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F11CCD">
        <w:rPr>
          <w:color w:val="000000"/>
          <w:sz w:val="28"/>
          <w:szCs w:val="28"/>
          <w:lang w:bidi="ru-RU"/>
        </w:rPr>
        <w:t>Положение</w:t>
      </w:r>
      <w:r>
        <w:rPr>
          <w:color w:val="000000"/>
          <w:sz w:val="28"/>
          <w:szCs w:val="28"/>
          <w:lang w:bidi="ru-RU"/>
        </w:rPr>
        <w:br/>
      </w:r>
      <w:r w:rsidRPr="00F11CCD">
        <w:rPr>
          <w:color w:val="000000"/>
          <w:sz w:val="28"/>
          <w:szCs w:val="28"/>
          <w:lang w:bidi="ru-RU"/>
        </w:rPr>
        <w:t>об уполномоченных на решение задач в области</w:t>
      </w:r>
      <w:r w:rsidR="00D55B6A">
        <w:rPr>
          <w:color w:val="000000"/>
          <w:sz w:val="28"/>
          <w:szCs w:val="28"/>
          <w:lang w:bidi="ru-RU"/>
        </w:rPr>
        <w:t xml:space="preserve"> </w:t>
      </w:r>
      <w:r w:rsidRPr="00F11CCD">
        <w:rPr>
          <w:color w:val="000000"/>
          <w:sz w:val="28"/>
          <w:szCs w:val="28"/>
          <w:lang w:bidi="ru-RU"/>
        </w:rPr>
        <w:t>гражданской обороны</w:t>
      </w:r>
      <w:r w:rsidR="00D55B6A">
        <w:rPr>
          <w:color w:val="000000"/>
          <w:sz w:val="28"/>
          <w:szCs w:val="28"/>
          <w:lang w:bidi="ru-RU"/>
        </w:rPr>
        <w:t xml:space="preserve"> </w:t>
      </w:r>
      <w:r w:rsidRPr="00F11CCD">
        <w:rPr>
          <w:color w:val="000000"/>
          <w:sz w:val="28"/>
          <w:szCs w:val="28"/>
          <w:lang w:bidi="ru-RU"/>
        </w:rPr>
        <w:t>структурных подразделениях(работниках) организаций</w:t>
      </w:r>
    </w:p>
    <w:p w:rsidR="00F11CCD" w:rsidRPr="00F11CCD" w:rsidRDefault="00F11CCD" w:rsidP="00F11CCD">
      <w:pPr>
        <w:pStyle w:val="22"/>
        <w:shd w:val="clear" w:color="auto" w:fill="auto"/>
        <w:tabs>
          <w:tab w:val="left" w:pos="883"/>
        </w:tabs>
        <w:spacing w:before="0" w:line="240" w:lineRule="auto"/>
        <w:ind w:left="580"/>
        <w:contextualSpacing/>
      </w:pP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Положение об уполномоченных на решение задач в области гражданской обороны структурных подразделениях (работниках) организаций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Положение) определяет задачи и численность структурных подразделений (работников), уполномоченных на решение задач в области гражданской обороны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структурные подразделения (работники) по гражданской обороне), организаций независимо от их организационно-правовой формы и подведомственности (подчиненности)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организации), а также численность отдельных работников по гражданской обороне в составе их представительств и филиалов.</w:t>
      </w: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Структурные подразделения (работники) по гражданской обороне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иными нормативными правовыми</w:t>
      </w:r>
      <w:r w:rsidRPr="00F11CCD">
        <w:rPr>
          <w:color w:val="000000"/>
          <w:lang w:bidi="ru-RU"/>
        </w:rPr>
        <w:tab/>
        <w:t>актами Российской Федерации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Основными задачами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являются: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планирования и проведения мероприятий по гражданской обороне.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поддержания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в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состоянии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постоянной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готовности технических систем управления гражданской обороны.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поддержания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в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состоянии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постоянной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чрезвычайно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высокой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опасности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и гидротехнические сооружения высокой опасности</w:t>
      </w:r>
      <w:r w:rsidRPr="00F11CCD">
        <w:rPr>
          <w:color w:val="000000"/>
          <w:vertAlign w:val="superscript"/>
          <w:lang w:bidi="ru-RU"/>
        </w:rPr>
        <w:footnoteReference w:id="3"/>
      </w:r>
      <w:r w:rsidRPr="00F11CCD">
        <w:rPr>
          <w:color w:val="000000"/>
          <w:lang w:bidi="ru-RU"/>
        </w:rPr>
        <w:t>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Участие в организации создания и содержания в целях гражданской </w:t>
      </w:r>
      <w:r w:rsidRPr="00F11CCD">
        <w:rPr>
          <w:color w:val="000000"/>
          <w:lang w:bidi="ru-RU"/>
        </w:rPr>
        <w:lastRenderedPageBreak/>
        <w:t>обороны запасов материально-технических, продовольственных, медицинских и иных средств.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планирования и проведения мероприятий по поддержанию устойчивого функционирования организаций в военное время.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 поддержания в состоянии постоянной готовности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нештатных аварийно-спасательных формирований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чрезвычайно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высокой</w:t>
      </w:r>
      <w:r w:rsidRPr="00F11CCD">
        <w:rPr>
          <w:color w:val="000000"/>
          <w:lang w:bidi="ru-RU"/>
        </w:rPr>
        <w:tab/>
        <w:t>опасности 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Организация создания и поддержания в состоянии постоянной готовности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нештатных формирований по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обеспечению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выполнения мероприятий</w:t>
      </w:r>
      <w:r w:rsidR="00D55B6A">
        <w:rPr>
          <w:color w:val="000000"/>
          <w:lang w:bidi="ru-RU"/>
        </w:rPr>
        <w:t xml:space="preserve"> </w:t>
      </w:r>
      <w:r w:rsidRPr="00F11CCD">
        <w:rPr>
          <w:color w:val="000000"/>
          <w:lang w:bidi="ru-RU"/>
        </w:rPr>
        <w:t>по гражданской обороне в организациях, отнесенных к категориям по гражданской обороне.</w:t>
      </w:r>
    </w:p>
    <w:p w:rsidR="00F11CCD" w:rsidRPr="00CA65C1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отнесенных к категориям по гражданской обороне</w:t>
      </w:r>
      <w:r w:rsidRPr="00F11CCD">
        <w:rPr>
          <w:color w:val="000000"/>
          <w:vertAlign w:val="superscript"/>
          <w:lang w:bidi="ru-RU"/>
        </w:rPr>
        <w:footnoteReference w:id="4"/>
      </w:r>
      <w:r w:rsidRPr="00F11CCD">
        <w:rPr>
          <w:color w:val="000000"/>
          <w:lang w:bidi="ru-RU"/>
        </w:rPr>
        <w:t>: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разработку (разрабатывают), уточняют и корректируют планы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Осуществляют методическое руководство планированием мероприятий гражданской обороны в представительствах и филиалах (если они имеются).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Разрабатывают проекты документов, регламентирующих работу в области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5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Формируют (разрабатывают) предложения по мероприятиям гражданской обороны, обеспечивающие выполнение мобилизационного плана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 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контроль за их состоянием.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5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разработку и реализацию инженерно-технических мероприятий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0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 и проведение мероприятий по световой и другим видам маскировки.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lastRenderedPageBreak/>
        <w:t>Организуют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прием сигналов гражданской обороны и доведение их до руководителей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создание и поддержание в состоянии постоянной готовности локальных систем оповещения в организациях, экплуатирующих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Планируют и организуют подготовку по гражданской обороне руководителей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Организуют, планируют и осуществляют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Участвуют в планировании проведения аварийно-спасательных работ.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  <w:tab w:val="left" w:pos="167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Формируют (разрабатывают) предложения по созданию, накоплению, хранению и освежению в целях гражданской обороны запасов материально- технических, продовольственных, медицинских и иных средств.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создание страхового фонда документации по гражданской обороне.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  <w:tab w:val="left" w:pos="167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контроль за выполнением принятых решений и утвержденных планов по выполнению мероприятий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Вносят на рассмотрение руководителю организации предложения по совершенствованию планирования и ведения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Привлекают к работе по подготовке планов, распорядительных документов и отчетных материалов по гражданской обороне другие структурные подразделения организации.</w:t>
      </w:r>
    </w:p>
    <w:p w:rsidR="00F11CCD" w:rsidRPr="009D2BD6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обороне: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329"/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Участвуют в планировании мероприятий по гражданской обороне муниципального образования в части касающейся.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334"/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lastRenderedPageBreak/>
        <w:t>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работников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определяется по следующим нормам</w:t>
      </w:r>
      <w:r w:rsidRPr="00F11CCD">
        <w:rPr>
          <w:color w:val="000000"/>
          <w:vertAlign w:val="superscript"/>
          <w:lang w:bidi="ru-RU"/>
        </w:rPr>
        <w:footnoteReference w:id="5"/>
      </w:r>
      <w:r w:rsidRPr="00F11CCD">
        <w:rPr>
          <w:color w:val="000000"/>
          <w:lang w:bidi="ru-RU"/>
        </w:rPr>
        <w:t>:</w:t>
      </w:r>
    </w:p>
    <w:p w:rsidR="00F11CCD" w:rsidRPr="00F11CCD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работников по гражданской обороне в структурном подразделении организации с учетом численности ее представительств и филиалов: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отнесенных к категориям по гражданской обороне, с количеством работников: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до 500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1 освобожденный работник;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501 до 2000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2-3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2001 до 5000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3-4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свыше 5001 человека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5-6 освобожденных работников.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32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обороне: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 до 500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1 освобожденный работник;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501 до 1000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2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1001 до 2000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3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2001 до 5000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4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5001 и более работников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5 освобожденных работников.</w:t>
      </w:r>
    </w:p>
    <w:p w:rsidR="00F11CCD" w:rsidRPr="00F11CCD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32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обороне, назначение освобожденных работников, уполномоченных на решение задач в области гражданской обороны, не обязательно.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 определении количества работников в структурных подразделениях по гражданской обороне организации или отдельных работников по гражданской обороне в составе ее представительств и филиалов, осуществляющих свою деятельность в сфере образования, учитывается общее количество обучающихся по очной форме обучения, а в сфере здравоохранения учитывается число проходящих лечение больных в стационаре.</w:t>
      </w:r>
    </w:p>
    <w:p w:rsidR="00F11CCD" w:rsidRPr="009D2BD6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lastRenderedPageBreak/>
        <w:t>Численность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филиалов, уполномоченных на решение задач в области гражданской обороны, устанавливается локальным нормативным актом.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Руководители структурных подразделений (работники) по гражданской обороне организаций находятся в подчинении у руководителей организаций.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Отдельные работники по гражданской обороне в составе представительств или филиалов организации находятся в подчинении у руководителя представительства или филиала.</w:t>
      </w:r>
    </w:p>
    <w:p w:rsidR="0012211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На должности работников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 назначаются лица, имеющие соответствующую подготовку в области гражданской обороны</w:t>
      </w:r>
      <w:r w:rsidRPr="00F11CCD">
        <w:rPr>
          <w:color w:val="000000"/>
          <w:vertAlign w:val="superscript"/>
          <w:lang w:bidi="ru-RU"/>
        </w:rPr>
        <w:footnoteReference w:id="6"/>
      </w:r>
      <w:r w:rsidRPr="00F11CCD">
        <w:rPr>
          <w:color w:val="000000"/>
          <w:lang w:bidi="ru-RU"/>
        </w:rPr>
        <w:t>.</w:t>
      </w:r>
    </w:p>
    <w:sectPr w:rsidR="0012211D" w:rsidRPr="00F11CCD" w:rsidSect="00353E43">
      <w:footerReference w:type="even" r:id="rId10"/>
      <w:footerReference w:type="first" r:id="rId11"/>
      <w:pgSz w:w="11900" w:h="16840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9D" w:rsidRDefault="00F5669D">
      <w:pPr>
        <w:spacing w:after="0" w:line="240" w:lineRule="auto"/>
      </w:pPr>
      <w:r>
        <w:separator/>
      </w:r>
    </w:p>
  </w:endnote>
  <w:endnote w:type="continuationSeparator" w:id="1">
    <w:p w:rsidR="00F5669D" w:rsidRDefault="00F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4A" w:rsidRDefault="004C55BC">
    <w:pPr>
      <w:rPr>
        <w:sz w:val="2"/>
        <w:szCs w:val="2"/>
      </w:rPr>
    </w:pPr>
    <w:r w:rsidRPr="004C55B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pt;margin-top:533.45pt;width:196.3pt;height:9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C654A" w:rsidRDefault="001C654A">
                <w:pPr>
                  <w:tabs>
                    <w:tab w:val="right" w:pos="3926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имя.отчество)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4A" w:rsidRDefault="004C55BC">
    <w:pPr>
      <w:rPr>
        <w:sz w:val="2"/>
        <w:szCs w:val="2"/>
      </w:rPr>
    </w:pPr>
    <w:r w:rsidRPr="004C55B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6.05pt;margin-top:517.45pt;width:193.9pt;height:8.9pt;z-index:-251655168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C654A" w:rsidRDefault="001C654A">
                <w:pPr>
                  <w:tabs>
                    <w:tab w:val="right" w:pos="3878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имя.отчество)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9D" w:rsidRDefault="00F5669D">
      <w:pPr>
        <w:spacing w:after="0" w:line="240" w:lineRule="auto"/>
      </w:pPr>
      <w:r>
        <w:separator/>
      </w:r>
    </w:p>
  </w:footnote>
  <w:footnote w:type="continuationSeparator" w:id="1">
    <w:p w:rsidR="00F5669D" w:rsidRDefault="00F5669D">
      <w:pPr>
        <w:spacing w:after="0" w:line="240" w:lineRule="auto"/>
      </w:pPr>
      <w:r>
        <w:continuationSeparator/>
      </w:r>
    </w:p>
  </w:footnote>
  <w:footnote w:id="2">
    <w:p w:rsidR="006B4A61" w:rsidRPr="006B4A61" w:rsidRDefault="006B4A61" w:rsidP="006B4A61">
      <w:pPr>
        <w:pStyle w:val="a4"/>
        <w:jc w:val="both"/>
        <w:rPr>
          <w:rFonts w:ascii="Times New Roman" w:hAnsi="Times New Roman" w:cs="Times New Roman"/>
        </w:rPr>
      </w:pPr>
      <w:r w:rsidRPr="006B4A61">
        <w:rPr>
          <w:rStyle w:val="a6"/>
          <w:rFonts w:ascii="Times New Roman" w:hAnsi="Times New Roman" w:cs="Times New Roman"/>
        </w:rPr>
        <w:footnoteRef/>
      </w:r>
      <w:r w:rsidRPr="006B4A61">
        <w:rPr>
          <w:rFonts w:ascii="Times New Roman" w:hAnsi="Times New Roman" w:cs="Times New Roman"/>
        </w:rPr>
        <w:t xml:space="preserve"> Собрание законодательства Российской Федерации, 1999, № 29, ст. 3750; 2004, № 50, ст. 5065; 2005, № 7, ст. 560; 2013, № 23, ст. 2917; 2016, № 43, ст. 6021.</w:t>
      </w:r>
    </w:p>
  </w:footnote>
  <w:footnote w:id="3">
    <w:p w:rsidR="00F11CCD" w:rsidRPr="00F11CCD" w:rsidRDefault="00F11CCD" w:rsidP="00F11CCD">
      <w:pPr>
        <w:pStyle w:val="ab"/>
        <w:shd w:val="clear" w:color="auto" w:fill="auto"/>
        <w:tabs>
          <w:tab w:val="left" w:pos="142"/>
        </w:tabs>
        <w:spacing w:line="240" w:lineRule="auto"/>
        <w:ind w:firstLine="0"/>
        <w:rPr>
          <w:b/>
          <w:sz w:val="20"/>
          <w:szCs w:val="20"/>
        </w:rPr>
      </w:pPr>
      <w:r w:rsidRPr="00F11CCD">
        <w:rPr>
          <w:rStyle w:val="ac"/>
          <w:b w:val="0"/>
          <w:sz w:val="20"/>
          <w:szCs w:val="20"/>
          <w:vertAlign w:val="superscript"/>
        </w:rPr>
        <w:footnoteRef/>
      </w:r>
      <w:r w:rsidRPr="00F11CCD">
        <w:rPr>
          <w:rStyle w:val="ac"/>
          <w:b w:val="0"/>
          <w:sz w:val="20"/>
          <w:szCs w:val="20"/>
        </w:rPr>
        <w:tab/>
        <w:t>Пункт 3 статьи 9 Федерального закона от 12 февраля 1998 г. № 28-ФЗ «О гражданской обороне» (Собрание законодательства Российской Федерации, 1998, № 7, ст. 799; 2016, № 1 (часть I), ст. 68).</w:t>
      </w:r>
    </w:p>
  </w:footnote>
  <w:footnote w:id="4">
    <w:p w:rsidR="00F11CCD" w:rsidRPr="00CA65C1" w:rsidRDefault="00F11CCD" w:rsidP="00CA65C1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CA65C1">
        <w:rPr>
          <w:rStyle w:val="ac"/>
          <w:b w:val="0"/>
          <w:sz w:val="20"/>
          <w:szCs w:val="20"/>
          <w:vertAlign w:val="superscript"/>
        </w:rPr>
        <w:footnoteRef/>
      </w:r>
      <w:r w:rsidRPr="00CA65C1">
        <w:rPr>
          <w:rStyle w:val="ac"/>
          <w:b w:val="0"/>
          <w:sz w:val="20"/>
          <w:szCs w:val="20"/>
        </w:rPr>
        <w:tab/>
        <w:t>Статья 1 Федерального закона от 12 февраля 1998 г. № 28-ФЗ «О гражданской обороне».</w:t>
      </w:r>
    </w:p>
  </w:footnote>
  <w:footnote w:id="5">
    <w:p w:rsidR="00F11CCD" w:rsidRPr="009D2BD6" w:rsidRDefault="00F11CCD" w:rsidP="009D2BD6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9D2BD6">
        <w:rPr>
          <w:rStyle w:val="ac"/>
          <w:b w:val="0"/>
          <w:sz w:val="20"/>
          <w:szCs w:val="20"/>
          <w:vertAlign w:val="superscript"/>
        </w:rPr>
        <w:footnoteRef/>
      </w:r>
      <w:r w:rsidRPr="009D2BD6">
        <w:rPr>
          <w:rStyle w:val="ac"/>
          <w:b w:val="0"/>
          <w:sz w:val="20"/>
          <w:szCs w:val="20"/>
        </w:rPr>
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№ 782.</w:t>
      </w:r>
    </w:p>
  </w:footnote>
  <w:footnote w:id="6">
    <w:p w:rsidR="00F11CCD" w:rsidRPr="009D2BD6" w:rsidRDefault="00F11CCD" w:rsidP="009D2BD6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9D2BD6">
        <w:rPr>
          <w:rStyle w:val="ac"/>
          <w:b w:val="0"/>
          <w:sz w:val="20"/>
          <w:szCs w:val="20"/>
          <w:vertAlign w:val="superscript"/>
        </w:rPr>
        <w:footnoteRef/>
      </w:r>
      <w:r w:rsidRPr="009D2BD6">
        <w:rPr>
          <w:rStyle w:val="ac"/>
          <w:b w:val="0"/>
          <w:sz w:val="20"/>
          <w:szCs w:val="20"/>
        </w:rPr>
        <w:t>Пункт 5 Положения о создании (назначении) в организациях структурных подразделений (работников), уполномоченных на решение</w:t>
      </w:r>
      <w:bookmarkStart w:id="1" w:name="_GoBack"/>
      <w:bookmarkEnd w:id="1"/>
      <w:r w:rsidRPr="009D2BD6">
        <w:rPr>
          <w:rStyle w:val="ac"/>
          <w:b w:val="0"/>
          <w:sz w:val="20"/>
          <w:szCs w:val="20"/>
        </w:rPr>
        <w:t xml:space="preserve"> задач в области гражданской обороны, утвержденного постановлением Правительства Российской Федерации от 10 июля 1999 г. № 782.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DD"/>
    <w:multiLevelType w:val="hybridMultilevel"/>
    <w:tmpl w:val="CCB2448A"/>
    <w:lvl w:ilvl="0" w:tplc="5DB2C8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77E9"/>
    <w:multiLevelType w:val="hybridMultilevel"/>
    <w:tmpl w:val="644878FE"/>
    <w:lvl w:ilvl="0" w:tplc="E4CA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82B9A"/>
    <w:multiLevelType w:val="multilevel"/>
    <w:tmpl w:val="FD2A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B2420"/>
    <w:multiLevelType w:val="multilevel"/>
    <w:tmpl w:val="0BD8B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C777E"/>
    <w:multiLevelType w:val="hybridMultilevel"/>
    <w:tmpl w:val="B030B718"/>
    <w:lvl w:ilvl="0" w:tplc="E7BC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1179"/>
    <w:multiLevelType w:val="hybridMultilevel"/>
    <w:tmpl w:val="54C2F6A0"/>
    <w:lvl w:ilvl="0" w:tplc="4BB25F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84FA0"/>
    <w:multiLevelType w:val="hybridMultilevel"/>
    <w:tmpl w:val="B66E273E"/>
    <w:lvl w:ilvl="0" w:tplc="9178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1B39"/>
    <w:multiLevelType w:val="hybridMultilevel"/>
    <w:tmpl w:val="8CC02274"/>
    <w:lvl w:ilvl="0" w:tplc="71AC69F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26044"/>
    <w:multiLevelType w:val="hybridMultilevel"/>
    <w:tmpl w:val="55028500"/>
    <w:lvl w:ilvl="0" w:tplc="ED28C7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7450D"/>
    <w:multiLevelType w:val="hybridMultilevel"/>
    <w:tmpl w:val="EA961F28"/>
    <w:lvl w:ilvl="0" w:tplc="D0F60F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FA8"/>
    <w:rsid w:val="000114D7"/>
    <w:rsid w:val="000225B4"/>
    <w:rsid w:val="0002441C"/>
    <w:rsid w:val="0003771C"/>
    <w:rsid w:val="00052AA4"/>
    <w:rsid w:val="000629A0"/>
    <w:rsid w:val="00070084"/>
    <w:rsid w:val="000718B8"/>
    <w:rsid w:val="000854EA"/>
    <w:rsid w:val="000A6ABE"/>
    <w:rsid w:val="000B1BEE"/>
    <w:rsid w:val="000B6BD0"/>
    <w:rsid w:val="000C2BF4"/>
    <w:rsid w:val="000C4AB5"/>
    <w:rsid w:val="000D5E36"/>
    <w:rsid w:val="000E3B82"/>
    <w:rsid w:val="00103845"/>
    <w:rsid w:val="00112C02"/>
    <w:rsid w:val="001172C7"/>
    <w:rsid w:val="0012211D"/>
    <w:rsid w:val="0012295C"/>
    <w:rsid w:val="00141C22"/>
    <w:rsid w:val="00144C4D"/>
    <w:rsid w:val="00162471"/>
    <w:rsid w:val="00174F01"/>
    <w:rsid w:val="0017710B"/>
    <w:rsid w:val="00185325"/>
    <w:rsid w:val="0019170B"/>
    <w:rsid w:val="00192F98"/>
    <w:rsid w:val="00196649"/>
    <w:rsid w:val="001A459C"/>
    <w:rsid w:val="001C654A"/>
    <w:rsid w:val="001F4CB7"/>
    <w:rsid w:val="002065CF"/>
    <w:rsid w:val="00215BBF"/>
    <w:rsid w:val="002204BA"/>
    <w:rsid w:val="0022559A"/>
    <w:rsid w:val="00235D2B"/>
    <w:rsid w:val="00244936"/>
    <w:rsid w:val="002574E2"/>
    <w:rsid w:val="00263C8E"/>
    <w:rsid w:val="00265C50"/>
    <w:rsid w:val="00282984"/>
    <w:rsid w:val="0029559A"/>
    <w:rsid w:val="002A228E"/>
    <w:rsid w:val="002B73CA"/>
    <w:rsid w:val="002E756E"/>
    <w:rsid w:val="002F31B8"/>
    <w:rsid w:val="002F33FD"/>
    <w:rsid w:val="002F76C6"/>
    <w:rsid w:val="0030394B"/>
    <w:rsid w:val="0030624F"/>
    <w:rsid w:val="003178FC"/>
    <w:rsid w:val="00321383"/>
    <w:rsid w:val="00330DE0"/>
    <w:rsid w:val="00331287"/>
    <w:rsid w:val="003329ED"/>
    <w:rsid w:val="00334BAC"/>
    <w:rsid w:val="0034784A"/>
    <w:rsid w:val="00353E43"/>
    <w:rsid w:val="00354B5E"/>
    <w:rsid w:val="00356F61"/>
    <w:rsid w:val="00364AA3"/>
    <w:rsid w:val="00366354"/>
    <w:rsid w:val="0037283B"/>
    <w:rsid w:val="00376E4D"/>
    <w:rsid w:val="0038005C"/>
    <w:rsid w:val="00392749"/>
    <w:rsid w:val="003A44B1"/>
    <w:rsid w:val="003B0EDD"/>
    <w:rsid w:val="003C62BE"/>
    <w:rsid w:val="003C77A3"/>
    <w:rsid w:val="003E0666"/>
    <w:rsid w:val="003E0F65"/>
    <w:rsid w:val="003E43FF"/>
    <w:rsid w:val="003E4F9A"/>
    <w:rsid w:val="003E5D59"/>
    <w:rsid w:val="003F0043"/>
    <w:rsid w:val="003F32AF"/>
    <w:rsid w:val="00403D02"/>
    <w:rsid w:val="0040654E"/>
    <w:rsid w:val="00412011"/>
    <w:rsid w:val="004230BE"/>
    <w:rsid w:val="004250BA"/>
    <w:rsid w:val="00442CDB"/>
    <w:rsid w:val="004514FC"/>
    <w:rsid w:val="004608B9"/>
    <w:rsid w:val="00481E18"/>
    <w:rsid w:val="00490381"/>
    <w:rsid w:val="00495F7F"/>
    <w:rsid w:val="004A0D54"/>
    <w:rsid w:val="004A2D3E"/>
    <w:rsid w:val="004C0016"/>
    <w:rsid w:val="004C367B"/>
    <w:rsid w:val="004C42B6"/>
    <w:rsid w:val="004C4886"/>
    <w:rsid w:val="004C55BC"/>
    <w:rsid w:val="004C7002"/>
    <w:rsid w:val="004C71D8"/>
    <w:rsid w:val="004D1F91"/>
    <w:rsid w:val="004D492F"/>
    <w:rsid w:val="004E3DEB"/>
    <w:rsid w:val="004E5191"/>
    <w:rsid w:val="004E6E1D"/>
    <w:rsid w:val="004F19D4"/>
    <w:rsid w:val="005063B7"/>
    <w:rsid w:val="0051082E"/>
    <w:rsid w:val="00510F82"/>
    <w:rsid w:val="00511FEE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86EBD"/>
    <w:rsid w:val="00596354"/>
    <w:rsid w:val="005973A4"/>
    <w:rsid w:val="005B6F15"/>
    <w:rsid w:val="005D5F86"/>
    <w:rsid w:val="005D7F8F"/>
    <w:rsid w:val="005E7AB9"/>
    <w:rsid w:val="005F0B0C"/>
    <w:rsid w:val="005F6D44"/>
    <w:rsid w:val="006008DA"/>
    <w:rsid w:val="0060141E"/>
    <w:rsid w:val="00626557"/>
    <w:rsid w:val="00626DC8"/>
    <w:rsid w:val="00626E12"/>
    <w:rsid w:val="00630AED"/>
    <w:rsid w:val="00634AAD"/>
    <w:rsid w:val="00635AA1"/>
    <w:rsid w:val="00650D1B"/>
    <w:rsid w:val="00654C3C"/>
    <w:rsid w:val="00661DE0"/>
    <w:rsid w:val="00687FC6"/>
    <w:rsid w:val="006931B1"/>
    <w:rsid w:val="006A2656"/>
    <w:rsid w:val="006B1C84"/>
    <w:rsid w:val="006B48F6"/>
    <w:rsid w:val="006B4A61"/>
    <w:rsid w:val="006C1D96"/>
    <w:rsid w:val="006C67A0"/>
    <w:rsid w:val="006D3753"/>
    <w:rsid w:val="006E0FA8"/>
    <w:rsid w:val="006E7FF5"/>
    <w:rsid w:val="006F3AE9"/>
    <w:rsid w:val="006F3F62"/>
    <w:rsid w:val="006F7659"/>
    <w:rsid w:val="007342E4"/>
    <w:rsid w:val="007356B0"/>
    <w:rsid w:val="00735DE3"/>
    <w:rsid w:val="00742848"/>
    <w:rsid w:val="00744959"/>
    <w:rsid w:val="00745616"/>
    <w:rsid w:val="00754597"/>
    <w:rsid w:val="00754D75"/>
    <w:rsid w:val="007577A2"/>
    <w:rsid w:val="007675AA"/>
    <w:rsid w:val="0079382B"/>
    <w:rsid w:val="007952A0"/>
    <w:rsid w:val="00795628"/>
    <w:rsid w:val="007B09B3"/>
    <w:rsid w:val="007B1ACB"/>
    <w:rsid w:val="007B34EA"/>
    <w:rsid w:val="007B4C63"/>
    <w:rsid w:val="007D34CC"/>
    <w:rsid w:val="007F61D4"/>
    <w:rsid w:val="007F648E"/>
    <w:rsid w:val="00812784"/>
    <w:rsid w:val="00814FD8"/>
    <w:rsid w:val="00821FB3"/>
    <w:rsid w:val="00824BDD"/>
    <w:rsid w:val="00825D69"/>
    <w:rsid w:val="00832070"/>
    <w:rsid w:val="008336B7"/>
    <w:rsid w:val="00833906"/>
    <w:rsid w:val="0084483E"/>
    <w:rsid w:val="00856E7C"/>
    <w:rsid w:val="00872569"/>
    <w:rsid w:val="00885ECE"/>
    <w:rsid w:val="00887E88"/>
    <w:rsid w:val="008968DC"/>
    <w:rsid w:val="008B2349"/>
    <w:rsid w:val="008B46E8"/>
    <w:rsid w:val="008C199B"/>
    <w:rsid w:val="008C1BD2"/>
    <w:rsid w:val="008C46DB"/>
    <w:rsid w:val="008D2342"/>
    <w:rsid w:val="008D4A33"/>
    <w:rsid w:val="008E21BE"/>
    <w:rsid w:val="008F69B9"/>
    <w:rsid w:val="00900594"/>
    <w:rsid w:val="00906A5E"/>
    <w:rsid w:val="0090775C"/>
    <w:rsid w:val="009103FD"/>
    <w:rsid w:val="00916875"/>
    <w:rsid w:val="00925D79"/>
    <w:rsid w:val="00931093"/>
    <w:rsid w:val="009313C8"/>
    <w:rsid w:val="009368B4"/>
    <w:rsid w:val="00945590"/>
    <w:rsid w:val="00945D34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D2BD6"/>
    <w:rsid w:val="009E5BF1"/>
    <w:rsid w:val="009E65C8"/>
    <w:rsid w:val="009E798D"/>
    <w:rsid w:val="009F366E"/>
    <w:rsid w:val="009F7377"/>
    <w:rsid w:val="00A01BEA"/>
    <w:rsid w:val="00A03BF6"/>
    <w:rsid w:val="00A04848"/>
    <w:rsid w:val="00A079A2"/>
    <w:rsid w:val="00A2320A"/>
    <w:rsid w:val="00A30F09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20DE"/>
    <w:rsid w:val="00AC3C9D"/>
    <w:rsid w:val="00AC7975"/>
    <w:rsid w:val="00AD1F3A"/>
    <w:rsid w:val="00AE3247"/>
    <w:rsid w:val="00B00238"/>
    <w:rsid w:val="00B06167"/>
    <w:rsid w:val="00B07B1E"/>
    <w:rsid w:val="00B17F89"/>
    <w:rsid w:val="00B51112"/>
    <w:rsid w:val="00B57159"/>
    <w:rsid w:val="00B61EFB"/>
    <w:rsid w:val="00B6591C"/>
    <w:rsid w:val="00B93AF2"/>
    <w:rsid w:val="00BA0986"/>
    <w:rsid w:val="00BC2623"/>
    <w:rsid w:val="00BC57A7"/>
    <w:rsid w:val="00BC6AB2"/>
    <w:rsid w:val="00BF7190"/>
    <w:rsid w:val="00C10FF3"/>
    <w:rsid w:val="00C42543"/>
    <w:rsid w:val="00C654BF"/>
    <w:rsid w:val="00C6683C"/>
    <w:rsid w:val="00C679E0"/>
    <w:rsid w:val="00C718A4"/>
    <w:rsid w:val="00C74A7F"/>
    <w:rsid w:val="00C75532"/>
    <w:rsid w:val="00CA558B"/>
    <w:rsid w:val="00CA65C1"/>
    <w:rsid w:val="00CA72CF"/>
    <w:rsid w:val="00CD14B2"/>
    <w:rsid w:val="00CE5043"/>
    <w:rsid w:val="00CE5066"/>
    <w:rsid w:val="00CF7990"/>
    <w:rsid w:val="00CF7C13"/>
    <w:rsid w:val="00D03A2A"/>
    <w:rsid w:val="00D047D9"/>
    <w:rsid w:val="00D06387"/>
    <w:rsid w:val="00D06CED"/>
    <w:rsid w:val="00D1137C"/>
    <w:rsid w:val="00D148EE"/>
    <w:rsid w:val="00D23153"/>
    <w:rsid w:val="00D463D2"/>
    <w:rsid w:val="00D46F77"/>
    <w:rsid w:val="00D51BE9"/>
    <w:rsid w:val="00D53458"/>
    <w:rsid w:val="00D55B6A"/>
    <w:rsid w:val="00D63EDB"/>
    <w:rsid w:val="00D64CAA"/>
    <w:rsid w:val="00D6548F"/>
    <w:rsid w:val="00D7655F"/>
    <w:rsid w:val="00D7711D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E0497F"/>
    <w:rsid w:val="00E10195"/>
    <w:rsid w:val="00E10508"/>
    <w:rsid w:val="00E37C7E"/>
    <w:rsid w:val="00E43D57"/>
    <w:rsid w:val="00E70E94"/>
    <w:rsid w:val="00E806B4"/>
    <w:rsid w:val="00E94DA8"/>
    <w:rsid w:val="00EB0EDB"/>
    <w:rsid w:val="00ED0779"/>
    <w:rsid w:val="00ED0A18"/>
    <w:rsid w:val="00EE4430"/>
    <w:rsid w:val="00EE5192"/>
    <w:rsid w:val="00EF2280"/>
    <w:rsid w:val="00F11CCD"/>
    <w:rsid w:val="00F24FE9"/>
    <w:rsid w:val="00F36E9F"/>
    <w:rsid w:val="00F45F76"/>
    <w:rsid w:val="00F52EF6"/>
    <w:rsid w:val="00F5669D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322B"/>
    <w:rsid w:val="00FD5527"/>
    <w:rsid w:val="00FE73BC"/>
    <w:rsid w:val="00FF0BD4"/>
    <w:rsid w:val="00FF1556"/>
    <w:rsid w:val="00FF4DE7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FC"/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178FC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178FC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3178FC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178FC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rsid w:val="003178FC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rsid w:val="003178FC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3178FC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rsid w:val="003178FC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3178FC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rsid w:val="003178FC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rsid w:val="003178FC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3178FC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3178FC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rsid w:val="003178FC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rsid w:val="003178FC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rsid w:val="003178FC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rsid w:val="003178FC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317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sid w:val="003178FC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sid w:val="003178FC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sid w:val="00317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sid w:val="003178FC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sid w:val="003178FC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sid w:val="003178F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988-E4FE-4170-B9FE-60A93F3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2017-07-10T07:22:00Z</dcterms:created>
  <dcterms:modified xsi:type="dcterms:W3CDTF">2017-07-17T06:29:00Z</dcterms:modified>
</cp:coreProperties>
</file>