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4" w:rsidRDefault="00271704" w:rsidP="002717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1704" w:rsidRDefault="00271704" w:rsidP="002717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71704" w:rsidRDefault="00271704" w:rsidP="002717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271704" w:rsidRDefault="00271704" w:rsidP="002717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71704" w:rsidRDefault="00271704" w:rsidP="002717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271704" w:rsidRDefault="00271704" w:rsidP="002717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71704" w:rsidRDefault="00271704" w:rsidP="002717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271704" w:rsidRDefault="00271704" w:rsidP="002717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71704" w:rsidRDefault="00271704" w:rsidP="00271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№104</w:t>
      </w:r>
    </w:p>
    <w:p w:rsidR="00271704" w:rsidRDefault="00271704" w:rsidP="00271704">
      <w:pPr>
        <w:rPr>
          <w:sz w:val="28"/>
          <w:szCs w:val="28"/>
        </w:rPr>
      </w:pPr>
    </w:p>
    <w:p w:rsidR="00271704" w:rsidRDefault="00271704" w:rsidP="00271704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«30» декабря 2021г.</w:t>
      </w:r>
      <w:r>
        <w:rPr>
          <w:sz w:val="28"/>
          <w:szCs w:val="28"/>
        </w:rPr>
        <w:tab/>
        <w:t xml:space="preserve">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p w:rsidR="00263A6A" w:rsidRDefault="00263A6A" w:rsidP="00263A6A">
      <w:pPr>
        <w:pStyle w:val="2"/>
        <w:suppressAutoHyphens/>
      </w:pPr>
      <w:r>
        <w:t xml:space="preserve">              </w:t>
      </w:r>
    </w:p>
    <w:p w:rsidR="00263A6A" w:rsidRPr="00103C4E" w:rsidRDefault="00263A6A" w:rsidP="00263A6A"/>
    <w:p w:rsidR="00263A6A" w:rsidRDefault="00263A6A" w:rsidP="00263A6A">
      <w:pPr>
        <w:pStyle w:val="2"/>
        <w:suppressAutoHyphens/>
        <w:jc w:val="center"/>
      </w:pPr>
      <w:r w:rsidRPr="00A00561">
        <w:t xml:space="preserve">Об утверждении Порядка </w:t>
      </w:r>
    </w:p>
    <w:p w:rsidR="00263A6A" w:rsidRDefault="00263A6A" w:rsidP="00263A6A">
      <w:pPr>
        <w:pStyle w:val="2"/>
        <w:suppressAutoHyphens/>
        <w:jc w:val="center"/>
      </w:pPr>
      <w:r w:rsidRPr="00A00561">
        <w:t>учета бю</w:t>
      </w:r>
      <w:r>
        <w:t>д</w:t>
      </w:r>
      <w:r w:rsidRPr="00A00561">
        <w:t>жетных</w:t>
      </w:r>
      <w:r>
        <w:t xml:space="preserve"> </w:t>
      </w:r>
      <w:r w:rsidRPr="00A00561">
        <w:t xml:space="preserve">и денежных обязательств </w:t>
      </w:r>
    </w:p>
    <w:p w:rsidR="00263A6A" w:rsidRPr="00A00561" w:rsidRDefault="00263A6A" w:rsidP="00263A6A">
      <w:pPr>
        <w:pStyle w:val="2"/>
        <w:suppressAutoHyphens/>
        <w:jc w:val="center"/>
      </w:pPr>
      <w:r w:rsidRPr="00A00561">
        <w:t xml:space="preserve">получателей средств бюджета </w:t>
      </w:r>
      <w:r w:rsidR="00271704">
        <w:t>Веселовского</w:t>
      </w:r>
      <w:r>
        <w:t xml:space="preserve"> сельского поселения </w:t>
      </w:r>
    </w:p>
    <w:p w:rsidR="0072542C" w:rsidRPr="00263A6A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1704" w:rsidRDefault="00271704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704" w:rsidRDefault="00271704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704" w:rsidRDefault="00271704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</w:t>
      </w:r>
      <w:r w:rsidR="004228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E109E" w:rsidRPr="0042289E">
        <w:rPr>
          <w:rFonts w:ascii="Times New Roman" w:hAnsi="Times New Roman" w:cs="Times New Roman"/>
          <w:sz w:val="28"/>
          <w:szCs w:val="28"/>
        </w:rPr>
        <w:t>бюджета</w:t>
      </w:r>
      <w:r w:rsidR="0042289E">
        <w:rPr>
          <w:rFonts w:ascii="Times New Roman" w:hAnsi="Times New Roman" w:cs="Times New Roman"/>
          <w:sz w:val="28"/>
          <w:szCs w:val="28"/>
        </w:rPr>
        <w:t>.</w:t>
      </w:r>
      <w:r w:rsidR="00FE109E" w:rsidRP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2. </w:t>
      </w:r>
      <w:r w:rsidR="0042289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бюджета, утвержденного настоящим </w:t>
      </w:r>
      <w:r w:rsidR="00835E82">
        <w:rPr>
          <w:rFonts w:ascii="Times New Roman" w:hAnsi="Times New Roman" w:cs="Times New Roman"/>
          <w:sz w:val="28"/>
          <w:szCs w:val="28"/>
        </w:rPr>
        <w:t>распоряжением</w:t>
      </w:r>
      <w:r w:rsidR="00AF7A43">
        <w:rPr>
          <w:rFonts w:ascii="Times New Roman" w:hAnsi="Times New Roman" w:cs="Times New Roman"/>
          <w:sz w:val="28"/>
          <w:szCs w:val="28"/>
        </w:rPr>
        <w:t>.</w:t>
      </w:r>
      <w:r w:rsid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Default="00835E82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AF7A43"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</w:t>
      </w:r>
      <w:r w:rsidR="00AF7A43">
        <w:rPr>
          <w:rFonts w:ascii="Times New Roman" w:hAnsi="Times New Roman" w:cs="Times New Roman"/>
          <w:sz w:val="28"/>
          <w:szCs w:val="28"/>
        </w:rPr>
        <w:t>года.</w:t>
      </w:r>
    </w:p>
    <w:p w:rsidR="009E48A6" w:rsidRDefault="00AF7A43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</w:t>
      </w:r>
      <w:r w:rsidR="00835E82">
        <w:rPr>
          <w:rFonts w:ascii="Times New Roman" w:hAnsi="Times New Roman" w:cs="Times New Roman"/>
          <w:sz w:val="28"/>
          <w:szCs w:val="28"/>
        </w:rPr>
        <w:t>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на </w:t>
      </w:r>
      <w:r w:rsidR="0072542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271704">
        <w:rPr>
          <w:rFonts w:ascii="Times New Roman" w:hAnsi="Times New Roman" w:cs="Times New Roman"/>
          <w:sz w:val="28"/>
          <w:szCs w:val="28"/>
        </w:rPr>
        <w:t>Веселовского</w:t>
      </w:r>
      <w:r w:rsidR="00835E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5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2C" w:rsidRDefault="0072542C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</w:t>
      </w: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1418"/>
        <w:gridCol w:w="2268"/>
      </w:tblGrid>
      <w:tr w:rsidR="00263A6A" w:rsidRPr="00A00561" w:rsidTr="00271704">
        <w:tc>
          <w:tcPr>
            <w:tcW w:w="5812" w:type="dxa"/>
          </w:tcPr>
          <w:p w:rsidR="00263A6A" w:rsidRPr="00A00561" w:rsidRDefault="00263A6A" w:rsidP="00271704">
            <w:pPr>
              <w:suppressAutoHyphens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A00561">
              <w:rPr>
                <w:sz w:val="28"/>
                <w:szCs w:val="28"/>
              </w:rPr>
              <w:t xml:space="preserve">Администрации </w:t>
            </w:r>
            <w:r w:rsidR="00271704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A0056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A005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18" w:type="dxa"/>
          </w:tcPr>
          <w:p w:rsidR="00263A6A" w:rsidRPr="00A00561" w:rsidRDefault="00263A6A" w:rsidP="00271704">
            <w:pPr>
              <w:suppressAutoHyphens/>
              <w:ind w:left="283"/>
              <w:rPr>
                <w:sz w:val="28"/>
                <w:szCs w:val="28"/>
              </w:rPr>
            </w:pPr>
          </w:p>
          <w:p w:rsidR="00263A6A" w:rsidRPr="00A00561" w:rsidRDefault="00263A6A" w:rsidP="0027170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3A6A" w:rsidRDefault="00263A6A" w:rsidP="00271704">
            <w:pPr>
              <w:suppressAutoHyphens/>
              <w:rPr>
                <w:sz w:val="28"/>
                <w:szCs w:val="28"/>
              </w:rPr>
            </w:pPr>
          </w:p>
          <w:p w:rsidR="00263A6A" w:rsidRPr="00A00561" w:rsidRDefault="00271704" w:rsidP="0027170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С.И.Титоренко</w:t>
            </w:r>
            <w:proofErr w:type="spellEnd"/>
          </w:p>
        </w:tc>
      </w:tr>
    </w:tbl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Pr="00271704" w:rsidRDefault="00271704" w:rsidP="009E48A6">
      <w:pPr>
        <w:rPr>
          <w:rFonts w:eastAsia="Arial Unicode MS"/>
          <w:color w:val="000000"/>
          <w:sz w:val="22"/>
          <w:szCs w:val="22"/>
        </w:rPr>
      </w:pPr>
      <w:r w:rsidRPr="00271704">
        <w:rPr>
          <w:rFonts w:eastAsia="Arial Unicode MS"/>
          <w:color w:val="000000"/>
          <w:sz w:val="22"/>
          <w:szCs w:val="22"/>
        </w:rPr>
        <w:t>распоряжение вносит сектор экономики и финансов 5-43-85</w:t>
      </w:r>
    </w:p>
    <w:p w:rsidR="00835E82" w:rsidRPr="00271704" w:rsidRDefault="00835E82" w:rsidP="009E48A6">
      <w:pPr>
        <w:rPr>
          <w:rFonts w:eastAsia="Arial Unicode MS"/>
          <w:color w:val="000000"/>
          <w:sz w:val="22"/>
          <w:szCs w:val="22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271704" w:rsidRDefault="002717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704" w:rsidRDefault="002717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F49" w:rsidRPr="00271704" w:rsidRDefault="00E83F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83F49" w:rsidRPr="00271704" w:rsidRDefault="00835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835E82" w:rsidRPr="00271704" w:rsidRDefault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>Веселовского</w:t>
      </w:r>
      <w:r w:rsidR="00835E82" w:rsidRPr="002717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3F49" w:rsidRPr="00271704" w:rsidRDefault="00835E82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>о</w:t>
      </w:r>
      <w:r w:rsidR="00E83F49" w:rsidRPr="00271704">
        <w:rPr>
          <w:rFonts w:ascii="Times New Roman" w:hAnsi="Times New Roman" w:cs="Times New Roman"/>
          <w:sz w:val="24"/>
          <w:szCs w:val="24"/>
        </w:rPr>
        <w:t>т</w:t>
      </w:r>
      <w:r w:rsidRPr="00271704">
        <w:rPr>
          <w:rFonts w:ascii="Times New Roman" w:hAnsi="Times New Roman" w:cs="Times New Roman"/>
          <w:sz w:val="24"/>
          <w:szCs w:val="24"/>
        </w:rPr>
        <w:t xml:space="preserve"> 30</w:t>
      </w:r>
      <w:r w:rsidR="00E83F49" w:rsidRPr="00271704">
        <w:rPr>
          <w:rFonts w:ascii="Times New Roman" w:hAnsi="Times New Roman" w:cs="Times New Roman"/>
          <w:sz w:val="24"/>
          <w:szCs w:val="24"/>
        </w:rPr>
        <w:t>.1</w:t>
      </w:r>
      <w:r w:rsidR="0099653C" w:rsidRPr="00271704">
        <w:rPr>
          <w:rFonts w:ascii="Times New Roman" w:hAnsi="Times New Roman" w:cs="Times New Roman"/>
          <w:sz w:val="24"/>
          <w:szCs w:val="24"/>
        </w:rPr>
        <w:t>2</w:t>
      </w:r>
      <w:r w:rsidR="00E83F49" w:rsidRPr="00271704">
        <w:rPr>
          <w:rFonts w:ascii="Times New Roman" w:hAnsi="Times New Roman" w:cs="Times New Roman"/>
          <w:sz w:val="24"/>
          <w:szCs w:val="24"/>
        </w:rPr>
        <w:t>.202</w:t>
      </w:r>
      <w:r w:rsidR="0099653C" w:rsidRPr="00271704">
        <w:rPr>
          <w:rFonts w:ascii="Times New Roman" w:hAnsi="Times New Roman" w:cs="Times New Roman"/>
          <w:sz w:val="24"/>
          <w:szCs w:val="24"/>
        </w:rPr>
        <w:t>1</w:t>
      </w:r>
      <w:r w:rsidR="00E83F49" w:rsidRPr="00271704">
        <w:rPr>
          <w:rFonts w:ascii="Times New Roman" w:hAnsi="Times New Roman" w:cs="Times New Roman"/>
          <w:sz w:val="24"/>
          <w:szCs w:val="24"/>
        </w:rPr>
        <w:t xml:space="preserve"> </w:t>
      </w:r>
      <w:r w:rsidR="00271704" w:rsidRPr="00271704">
        <w:rPr>
          <w:rFonts w:ascii="Times New Roman" w:hAnsi="Times New Roman" w:cs="Times New Roman"/>
          <w:sz w:val="24"/>
          <w:szCs w:val="24"/>
        </w:rPr>
        <w:t>№104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ПОРЯДОК</w:t>
      </w:r>
    </w:p>
    <w:p w:rsidR="002C712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</w:t>
      </w:r>
    </w:p>
    <w:p w:rsidR="00E83F49" w:rsidRPr="0042289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614" w:rsidRDefault="00E8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1</w:t>
      </w:r>
      <w:r w:rsidR="00246D7D">
        <w:rPr>
          <w:rFonts w:ascii="Times New Roman" w:hAnsi="Times New Roman" w:cs="Times New Roman"/>
          <w:sz w:val="28"/>
          <w:szCs w:val="28"/>
        </w:rPr>
        <w:t>.1</w:t>
      </w:r>
      <w:r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6D7D">
        <w:rPr>
          <w:rFonts w:ascii="Times New Roman" w:hAnsi="Times New Roman" w:cs="Times New Roman"/>
          <w:sz w:val="28"/>
          <w:szCs w:val="28"/>
        </w:rPr>
        <w:t xml:space="preserve">Порядок учета бюджетных и денежных обязательств получателей средств местного бюджета (далее – Порядок) </w:t>
      </w:r>
      <w:r w:rsidRPr="0042289E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по расходам в части постановки на учет бюджетных и денежных обязательств получателей средств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и внесения в них изменений </w:t>
      </w:r>
      <w:r w:rsidR="00DC549A">
        <w:rPr>
          <w:rFonts w:ascii="Times New Roman" w:hAnsi="Times New Roman" w:cs="Times New Roman"/>
          <w:sz w:val="28"/>
          <w:szCs w:val="28"/>
        </w:rPr>
        <w:t xml:space="preserve">Отделом № </w:t>
      </w:r>
      <w:r w:rsidR="00DD352C">
        <w:rPr>
          <w:rFonts w:ascii="Times New Roman" w:hAnsi="Times New Roman" w:cs="Times New Roman"/>
          <w:sz w:val="28"/>
          <w:szCs w:val="28"/>
        </w:rPr>
        <w:t>42</w:t>
      </w:r>
      <w:r w:rsidR="00DC549A">
        <w:rPr>
          <w:rFonts w:ascii="Times New Roman" w:hAnsi="Times New Roman" w:cs="Times New Roman"/>
          <w:sz w:val="28"/>
          <w:szCs w:val="28"/>
        </w:rPr>
        <w:t xml:space="preserve"> УФК</w:t>
      </w:r>
      <w:r w:rsidR="00246D7D">
        <w:rPr>
          <w:rFonts w:ascii="Times New Roman" w:hAnsi="Times New Roman" w:cs="Times New Roman"/>
          <w:sz w:val="28"/>
          <w:szCs w:val="28"/>
        </w:rPr>
        <w:t xml:space="preserve"> по Ростовской области (далее</w:t>
      </w:r>
      <w:r w:rsidR="00B7461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6D7D">
        <w:rPr>
          <w:rFonts w:ascii="Times New Roman" w:hAnsi="Times New Roman" w:cs="Times New Roman"/>
          <w:sz w:val="28"/>
          <w:szCs w:val="28"/>
        </w:rPr>
        <w:t xml:space="preserve"> –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B74614">
        <w:rPr>
          <w:rFonts w:ascii="Times New Roman" w:hAnsi="Times New Roman" w:cs="Times New Roman"/>
          <w:sz w:val="28"/>
          <w:szCs w:val="28"/>
        </w:rPr>
        <w:t xml:space="preserve">, </w:t>
      </w:r>
      <w:r w:rsidR="00B74614" w:rsidRPr="0042289E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</w:t>
      </w:r>
      <w:r w:rsidR="00246D7D">
        <w:rPr>
          <w:rFonts w:ascii="Times New Roman" w:hAnsi="Times New Roman" w:cs="Times New Roman"/>
          <w:sz w:val="28"/>
          <w:szCs w:val="28"/>
        </w:rPr>
        <w:t>)</w:t>
      </w:r>
      <w:r w:rsidR="00B74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614" w:rsidRDefault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Бюджетные и денежные обязательства учитываются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на лицевых счетах получателей бюджетных средств, открытых в установленном порядке в </w:t>
      </w:r>
      <w:r w:rsidR="00DC549A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лицевые счета).</w:t>
      </w:r>
    </w:p>
    <w:p w:rsidR="00E83F49" w:rsidRDefault="00B7461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реквизиты которых установлены в </w:t>
      </w:r>
      <w:hyperlink w:anchor="P261" w:history="1">
        <w:r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к настоящему Порядку соответственно.</w:t>
      </w:r>
    </w:p>
    <w:p w:rsidR="00794F3D" w:rsidRDefault="00794F3D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Сведений о </w:t>
      </w:r>
      <w:r w:rsidR="004942B4">
        <w:rPr>
          <w:rFonts w:ascii="Times New Roman" w:hAnsi="Times New Roman" w:cs="Times New Roman"/>
          <w:sz w:val="28"/>
          <w:szCs w:val="28"/>
        </w:rPr>
        <w:t xml:space="preserve">бюджетном обязательстве и Сведений о денежном обязательстве осуществляется получателями средств местного бюджета или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4942B4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Порядком.</w:t>
      </w:r>
    </w:p>
    <w:p w:rsidR="004942B4" w:rsidRDefault="004942B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</w:t>
      </w:r>
      <w:r w:rsidR="00E102B0">
        <w:rPr>
          <w:rFonts w:ascii="Times New Roman" w:hAnsi="Times New Roman" w:cs="Times New Roman"/>
          <w:sz w:val="28"/>
          <w:szCs w:val="28"/>
        </w:rPr>
        <w:t xml:space="preserve"> 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E102B0">
        <w:rPr>
          <w:rFonts w:ascii="Times New Roman" w:hAnsi="Times New Roman" w:cs="Times New Roman"/>
          <w:sz w:val="28"/>
          <w:szCs w:val="28"/>
        </w:rPr>
        <w:t xml:space="preserve"> </w:t>
      </w:r>
      <w:r w:rsidR="0079135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791351">
        <w:rPr>
          <w:rFonts w:ascii="Times New Roman" w:hAnsi="Times New Roman" w:cs="Times New Roman"/>
          <w:sz w:val="28"/>
          <w:szCs w:val="28"/>
        </w:rPr>
        <w:t xml:space="preserve"> </w:t>
      </w:r>
      <w:r w:rsidR="00E102B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C3748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41780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и Федерального казначейства (далее – информационная система) </w:t>
      </w:r>
      <w:r w:rsidR="00E102B0">
        <w:rPr>
          <w:rFonts w:ascii="Times New Roman" w:hAnsi="Times New Roman" w:cs="Times New Roman"/>
          <w:sz w:val="28"/>
          <w:szCs w:val="28"/>
        </w:rPr>
        <w:t>с применением электронной подписи лица, имеющего право действовать от имени получателя средств местного бюджета.</w:t>
      </w:r>
      <w:proofErr w:type="gramEnd"/>
    </w:p>
    <w:p w:rsidR="00AC5F3E" w:rsidRDefault="00E102B0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="00960BE2">
        <w:rPr>
          <w:rFonts w:ascii="Times New Roman" w:hAnsi="Times New Roman" w:cs="Times New Roman"/>
          <w:sz w:val="28"/>
          <w:szCs w:val="28"/>
        </w:rPr>
        <w:t xml:space="preserve">документооборота с применением электронной подписи Сведения о бюджетном обязательстве и Сведения о денежном обязательстве 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960BE2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представлением на съемном машинном носителе информации.</w:t>
      </w:r>
    </w:p>
    <w:p w:rsidR="00E102B0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средств местного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417801" w:rsidRDefault="00AC5F3E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</w:t>
      </w:r>
      <w:r w:rsidRPr="0042289E">
        <w:rPr>
          <w:rFonts w:ascii="Times New Roman" w:hAnsi="Times New Roman" w:cs="Times New Roman"/>
          <w:sz w:val="28"/>
          <w:szCs w:val="28"/>
        </w:rPr>
        <w:lastRenderedPageBreak/>
        <w:t>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федерального бюджета.</w:t>
      </w:r>
    </w:p>
    <w:p w:rsidR="00960BE2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Лица, имеющие право действовать от имени получателя средств местного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E83F49" w:rsidRDefault="00417801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в соответствии с настоящим Порядком.</w:t>
      </w:r>
    </w:p>
    <w:p w:rsidR="009003AF" w:rsidRPr="0042289E" w:rsidRDefault="009003AF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FE1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и внесение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560" w:rsidRDefault="00FE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</w:t>
      </w:r>
      <w:r w:rsidR="004A739A" w:rsidRPr="0013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</w:t>
      </w:r>
      <w:r w:rsidR="00E83F49" w:rsidRPr="0042289E">
        <w:rPr>
          <w:rFonts w:ascii="Times New Roman" w:hAnsi="Times New Roman" w:cs="Times New Roman"/>
          <w:sz w:val="28"/>
          <w:szCs w:val="28"/>
        </w:rPr>
        <w:t>документ</w:t>
      </w:r>
      <w:r w:rsidR="00213560">
        <w:rPr>
          <w:rFonts w:ascii="Times New Roman" w:hAnsi="Times New Roman" w:cs="Times New Roman"/>
          <w:sz w:val="28"/>
          <w:szCs w:val="28"/>
        </w:rPr>
        <w:t>ы</w:t>
      </w:r>
      <w:r w:rsidR="00E83F49" w:rsidRPr="0042289E">
        <w:rPr>
          <w:rFonts w:ascii="Times New Roman" w:hAnsi="Times New Roman" w:cs="Times New Roman"/>
          <w:sz w:val="28"/>
          <w:szCs w:val="28"/>
        </w:rPr>
        <w:t>-основани</w:t>
      </w:r>
      <w:r w:rsidR="002135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  <w:r w:rsidR="00213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560">
        <w:rPr>
          <w:rFonts w:ascii="Times New Roman" w:hAnsi="Times New Roman" w:cs="Times New Roman"/>
          <w:sz w:val="28"/>
          <w:szCs w:val="28"/>
        </w:rPr>
        <w:t>Перечень документов – оснований).</w:t>
      </w:r>
      <w:proofErr w:type="gramEnd"/>
    </w:p>
    <w:p w:rsidR="00213560" w:rsidRDefault="00213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13560" w:rsidRDefault="00DC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560">
        <w:rPr>
          <w:rFonts w:ascii="Times New Roman" w:hAnsi="Times New Roman" w:cs="Times New Roman"/>
          <w:sz w:val="28"/>
          <w:szCs w:val="28"/>
        </w:rPr>
        <w:t xml:space="preserve">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 xml:space="preserve">ний, предусмотренных пунктами </w:t>
      </w:r>
      <w:r w:rsidR="00940D8F">
        <w:rPr>
          <w:rFonts w:ascii="Times New Roman" w:hAnsi="Times New Roman" w:cs="Times New Roman"/>
          <w:sz w:val="28"/>
          <w:szCs w:val="28"/>
        </w:rPr>
        <w:t xml:space="preserve">1,2 </w:t>
      </w:r>
      <w:r w:rsidR="00213560">
        <w:rPr>
          <w:rFonts w:ascii="Times New Roman" w:hAnsi="Times New Roman" w:cs="Times New Roman"/>
          <w:sz w:val="28"/>
          <w:szCs w:val="28"/>
        </w:rPr>
        <w:t>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указанных в названных пунктах графы 1 Перечня документов-оснований</w:t>
      </w:r>
      <w:r w:rsidR="00AC583D">
        <w:rPr>
          <w:rFonts w:ascii="Times New Roman" w:hAnsi="Times New Roman" w:cs="Times New Roman"/>
          <w:sz w:val="28"/>
          <w:szCs w:val="28"/>
        </w:rPr>
        <w:t>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>ний, предусмотренных пункт</w:t>
      </w:r>
      <w:r w:rsidR="00106734">
        <w:rPr>
          <w:rFonts w:ascii="Times New Roman" w:hAnsi="Times New Roman" w:cs="Times New Roman"/>
          <w:sz w:val="28"/>
          <w:szCs w:val="28"/>
        </w:rPr>
        <w:t>ом</w:t>
      </w:r>
      <w:r w:rsidR="00F70E1A">
        <w:rPr>
          <w:rFonts w:ascii="Times New Roman" w:hAnsi="Times New Roman" w:cs="Times New Roman"/>
          <w:sz w:val="28"/>
          <w:szCs w:val="28"/>
        </w:rPr>
        <w:t xml:space="preserve"> </w:t>
      </w:r>
      <w:r w:rsidR="00106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получателями средств местного бюджета не позднее </w:t>
      </w:r>
      <w:r w:rsidR="0010673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67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067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</w:t>
      </w:r>
      <w:r w:rsidR="00106734">
        <w:rPr>
          <w:rFonts w:ascii="Times New Roman" w:hAnsi="Times New Roman" w:cs="Times New Roman"/>
          <w:sz w:val="28"/>
          <w:szCs w:val="28"/>
        </w:rPr>
        <w:t>приказа об утверждении штатного расписания с расчетом годового фонда оплаты труда (иного</w:t>
      </w:r>
      <w:proofErr w:type="gramEnd"/>
      <w:r w:rsidR="0010673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C41F6">
        <w:rPr>
          <w:rFonts w:ascii="Times New Roman" w:hAnsi="Times New Roman" w:cs="Times New Roman"/>
          <w:sz w:val="28"/>
          <w:szCs w:val="28"/>
        </w:rPr>
        <w:t>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 в пределах доведенных лимитов бюджетных обязательств 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указанных в названн</w:t>
      </w:r>
      <w:r w:rsidR="005C41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4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документов-оснований;</w:t>
      </w:r>
    </w:p>
    <w:p w:rsidR="00361D28" w:rsidRDefault="00361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части бюджетных обязательств, возникших на основании документов-оснований, предусмотренных пунктами 9-10 графы 1 Перечня документов-оснований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</w:t>
      </w:r>
      <w:r w:rsidR="00F70E1A">
        <w:rPr>
          <w:rFonts w:ascii="Times New Roman" w:hAnsi="Times New Roman" w:cs="Times New Roman"/>
          <w:sz w:val="28"/>
          <w:szCs w:val="28"/>
        </w:rPr>
        <w:t>тренных пунктами 3</w:t>
      </w:r>
      <w:r w:rsidR="00A13D30">
        <w:rPr>
          <w:rFonts w:ascii="Times New Roman" w:hAnsi="Times New Roman" w:cs="Times New Roman"/>
          <w:sz w:val="28"/>
          <w:szCs w:val="28"/>
        </w:rPr>
        <w:t>-7</w:t>
      </w:r>
      <w:r w:rsidR="00F70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</w:t>
      </w:r>
      <w:r w:rsidR="00A13D3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санкционированием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AC583D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</w:t>
      </w:r>
      <w:r w:rsidR="006A66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бюджетных обязательствах, возникших на основании документов-оснований, предусмотренных пунктами </w:t>
      </w:r>
      <w:r w:rsidR="00775DE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направляются в </w:t>
      </w:r>
      <w:r w:rsidR="006C713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направляются в </w:t>
      </w:r>
      <w:r w:rsidR="00132E0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на бумажном носителе.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обязательстве, возникшем на основании документа-основания, предусмотренного пунктом </w:t>
      </w:r>
      <w:r w:rsidR="00095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копия указанного документа-основания в </w:t>
      </w:r>
      <w:r w:rsidR="000951D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документов-оснований, предусмотренных пункт</w:t>
      </w:r>
      <w:r w:rsidR="00775D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E0">
        <w:rPr>
          <w:rFonts w:ascii="Times New Roman" w:hAnsi="Times New Roman" w:cs="Times New Roman"/>
          <w:sz w:val="28"/>
          <w:szCs w:val="28"/>
        </w:rPr>
        <w:t>10</w:t>
      </w:r>
      <w:r w:rsidR="00DD245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 w:rsidR="00DD245A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предусмотренный пунктами </w:t>
      </w:r>
      <w:r w:rsidR="00AC325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документ, предусматривающий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документ-основание </w:t>
      </w:r>
      <w:r w:rsidR="00DF1E72">
        <w:rPr>
          <w:rFonts w:ascii="Times New Roman" w:hAnsi="Times New Roman" w:cs="Times New Roman"/>
          <w:sz w:val="28"/>
          <w:szCs w:val="28"/>
        </w:rPr>
        <w:t xml:space="preserve">и отсутствующий в информационных системах, представляется получателем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DF1E72">
        <w:rPr>
          <w:rFonts w:ascii="Times New Roman" w:hAnsi="Times New Roman" w:cs="Times New Roman"/>
          <w:sz w:val="28"/>
          <w:szCs w:val="28"/>
        </w:rPr>
        <w:t xml:space="preserve"> одновременно со Сведениями о бюджетном обязательстве.</w:t>
      </w:r>
    </w:p>
    <w:p w:rsidR="00826A34" w:rsidRDefault="00826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документов-оснований (документов о внесении изменений в документы-основания), направленные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краевого бюджета, подлежат хранению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делопроизводства.</w:t>
      </w:r>
      <w:proofErr w:type="gramEnd"/>
    </w:p>
    <w:p w:rsidR="008162DA" w:rsidRDefault="0081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получателями средств местного бюджета,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325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</w:t>
      </w:r>
      <w:r w:rsidR="00226B38">
        <w:rPr>
          <w:rFonts w:ascii="Times New Roman" w:hAnsi="Times New Roman" w:cs="Times New Roman"/>
          <w:sz w:val="28"/>
          <w:szCs w:val="28"/>
        </w:rPr>
        <w:t>тве осуществляет их проверку по следующим направлениям: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 в соответствии с пунктом 2.3 настоящего Порядка;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</w:t>
      </w:r>
      <w:r w:rsidR="003D1BC2">
        <w:rPr>
          <w:rFonts w:ascii="Times New Roman" w:hAnsi="Times New Roman" w:cs="Times New Roman"/>
          <w:sz w:val="28"/>
          <w:szCs w:val="28"/>
        </w:rPr>
        <w:t xml:space="preserve">кодам классификации расходов местного бюджета над суммой неиспользованных лимитов бюджетных обязательств (бюджетных ассигнований на исполнение </w:t>
      </w:r>
      <w:r w:rsidR="00D91CED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обязательств), отраженных на соответствующем лицевом счете получателя бюджетных средств, открытом в установленном порядке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D91CE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местного бюджета, указанному в Сведениях о бюджетном обязательстве, документе-основании.</w:t>
      </w:r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обязательстве, возникшем на основании документов-оснований, предусмотренных пунктом 1 графы 1 </w:t>
      </w:r>
      <w:r w:rsidR="00F226AA">
        <w:rPr>
          <w:rFonts w:ascii="Times New Roman" w:hAnsi="Times New Roman" w:cs="Times New Roman"/>
          <w:sz w:val="28"/>
          <w:szCs w:val="28"/>
        </w:rPr>
        <w:t xml:space="preserve">Перечня  документов-оснований,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F226AA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порядке в реестр контрактов.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представления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носителе, в дополнение к проверке, предусмотренной пунктом 2.6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также осуществляется проверка Сведений о бюджетном обязательстве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подписей лиц, имеющих право подписывать Сведения о бюджетном обязательстве от имени получателя средств местного бюджета, имеющим</w:t>
      </w:r>
      <w:r w:rsidR="00285B39">
        <w:rPr>
          <w:rFonts w:ascii="Times New Roman" w:hAnsi="Times New Roman" w:cs="Times New Roman"/>
          <w:sz w:val="28"/>
          <w:szCs w:val="28"/>
        </w:rPr>
        <w:t xml:space="preserve">ся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285B39">
        <w:rPr>
          <w:rFonts w:ascii="Times New Roman" w:hAnsi="Times New Roman" w:cs="Times New Roman"/>
          <w:sz w:val="28"/>
          <w:szCs w:val="28"/>
        </w:rPr>
        <w:t xml:space="preserve"> образцам, предоставленным получателе</w:t>
      </w:r>
      <w:r>
        <w:rPr>
          <w:rFonts w:ascii="Times New Roman" w:hAnsi="Times New Roman" w:cs="Times New Roman"/>
          <w:sz w:val="28"/>
          <w:szCs w:val="28"/>
        </w:rPr>
        <w:t>м средств</w:t>
      </w:r>
      <w:r w:rsidR="00285B39">
        <w:rPr>
          <w:rFonts w:ascii="Times New Roman" w:hAnsi="Times New Roman" w:cs="Times New Roman"/>
          <w:sz w:val="28"/>
          <w:szCs w:val="28"/>
        </w:rPr>
        <w:t xml:space="preserve"> местного бюджета в порядке, установленном для открытия соответствующего лицевого счета.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 бюджетном обязательстве на соответствие требованиям, предусмотренным пунктами 2.6 и 2.7 настояще</w:t>
      </w:r>
      <w:r w:rsidR="00AC325D">
        <w:rPr>
          <w:rFonts w:ascii="Times New Roman" w:hAnsi="Times New Roman" w:cs="Times New Roman"/>
          <w:sz w:val="28"/>
          <w:szCs w:val="28"/>
        </w:rPr>
        <w:t>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</w:t>
      </w:r>
      <w:r w:rsidR="009C1369">
        <w:rPr>
          <w:rFonts w:ascii="Times New Roman" w:hAnsi="Times New Roman" w:cs="Times New Roman"/>
          <w:sz w:val="28"/>
          <w:szCs w:val="28"/>
        </w:rPr>
        <w:t>омер бюджетному обязательству (</w:t>
      </w:r>
      <w:r>
        <w:rPr>
          <w:rFonts w:ascii="Times New Roman" w:hAnsi="Times New Roman" w:cs="Times New Roman"/>
          <w:sz w:val="28"/>
          <w:szCs w:val="28"/>
        </w:rPr>
        <w:t>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</w:t>
      </w:r>
      <w:r w:rsidR="00AC32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извещение о постановке на учет (изменении)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  <w:proofErr w:type="gramEnd"/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</w:t>
      </w:r>
      <w:r w:rsidR="00AC325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местного бюджета: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представленных в форме электронного документа;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лицом, имеющим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предоставленных на бумажном носителе.</w:t>
      </w:r>
    </w:p>
    <w:p w:rsidR="00285B39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1по 8 разряд – уникальный код получателя средств местного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10 разряды – последние две цифры года, в котором бюджетное обязательство поставлено на учет;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19 разряд – уникальный номер бюджетного обязательства, присваиваемый </w:t>
      </w:r>
      <w:r w:rsidR="00FF2B1F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отрицательного результата проверки Сведений о бюджетном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обязательстве на соответствие требованиям, предусмотренным абзацами вторым, третьим, пятым и шестым пункта 2.6 и пунктом 2.7 настоящего Порядка, </w:t>
      </w:r>
      <w:r w:rsidR="00FF2B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 бюджетном обязательстве: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направляет получателю средств местного бюджета уведомление в электронной форме, содержащее информацию, позволяющую идентифицировать</w:t>
      </w:r>
      <w:r w:rsidR="00234C49">
        <w:rPr>
          <w:rFonts w:ascii="Times New Roman" w:hAnsi="Times New Roman" w:cs="Times New Roman"/>
          <w:sz w:val="28"/>
          <w:szCs w:val="28"/>
        </w:rPr>
        <w:t xml:space="preserve">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казначейством,- в отношении Сведений о бюджетном обязательстве, представленных в форме электронного документа;</w:t>
      </w:r>
      <w:proofErr w:type="gramEnd"/>
    </w:p>
    <w:p w:rsidR="00234C49" w:rsidRDefault="00234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местного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FF2B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абзацем четвертым пункта 2.6 настоящего Порядка,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 местного бюджета Извещение о бюджетном обязательстве с указанием информации, предусмотренной пунктом 2.8 настоящего Порядка;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</w:t>
      </w:r>
      <w:r w:rsidR="00A4230F">
        <w:rPr>
          <w:rFonts w:ascii="Times New Roman" w:hAnsi="Times New Roman" w:cs="Times New Roman"/>
          <w:sz w:val="28"/>
          <w:szCs w:val="28"/>
        </w:rPr>
        <w:t>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A4230F" w:rsidRDefault="00A4230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F2B1F">
        <w:rPr>
          <w:rFonts w:ascii="Times New Roman" w:hAnsi="Times New Roman" w:cs="Times New Roman"/>
          <w:sz w:val="28"/>
          <w:szCs w:val="28"/>
        </w:rPr>
        <w:t xml:space="preserve">Бюджетные обязательства, поставленные на учет до начала текущего финансового года, исполнение которых </w:t>
      </w:r>
      <w:proofErr w:type="gramStart"/>
      <w:r w:rsidR="00FF2B1F">
        <w:rPr>
          <w:rFonts w:ascii="Times New Roman" w:hAnsi="Times New Roman" w:cs="Times New Roman"/>
          <w:sz w:val="28"/>
          <w:szCs w:val="28"/>
        </w:rPr>
        <w:t>осуществляется в текущем финансовом году  подлежат</w:t>
      </w:r>
      <w:proofErr w:type="gramEnd"/>
      <w:r w:rsidR="00FF2B1F">
        <w:rPr>
          <w:rFonts w:ascii="Times New Roman" w:hAnsi="Times New Roman" w:cs="Times New Roman"/>
          <w:sz w:val="28"/>
          <w:szCs w:val="28"/>
        </w:rPr>
        <w:t xml:space="preserve"> учету в Отделе в следующем порядке:</w:t>
      </w:r>
    </w:p>
    <w:p w:rsidR="00FF2B1F" w:rsidRDefault="00FF2B1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получателем средств местного бюджета не предоставляются, а бюджетное обязательство </w:t>
      </w:r>
      <w:r w:rsidR="009F2D23">
        <w:rPr>
          <w:rFonts w:ascii="Times New Roman" w:hAnsi="Times New Roman" w:cs="Times New Roman"/>
          <w:sz w:val="28"/>
          <w:szCs w:val="28"/>
        </w:rPr>
        <w:t>формируется Отделом в момент предоставления документов по оплате, с вложением заключенного до начала текущего финансового года документа-основания.</w:t>
      </w:r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9F2D2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местного бюджета в части аннулирования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неисполненных бюджетных обязательств.</w:t>
      </w:r>
      <w:proofErr w:type="gramEnd"/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AF" w:rsidRDefault="009003AF" w:rsidP="009003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F">
        <w:rPr>
          <w:rFonts w:ascii="Times New Roman" w:hAnsi="Times New Roman" w:cs="Times New Roman"/>
          <w:b/>
          <w:sz w:val="28"/>
          <w:szCs w:val="28"/>
        </w:rPr>
        <w:t>3. Особенности учета бюджетных обязательств по исполнительным документам, решениям налоговых органов</w:t>
      </w:r>
    </w:p>
    <w:p w:rsidR="009C1369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пунктами </w:t>
      </w:r>
      <w:r w:rsidR="00575755">
        <w:rPr>
          <w:rFonts w:ascii="Times New Roman" w:hAnsi="Times New Roman" w:cs="Times New Roman"/>
          <w:sz w:val="28"/>
          <w:szCs w:val="28"/>
        </w:rPr>
        <w:t>9 и 10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57525C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5755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</w:t>
      </w:r>
      <w:r w:rsidR="00705E3F">
        <w:rPr>
          <w:rFonts w:ascii="Times New Roman" w:hAnsi="Times New Roman" w:cs="Times New Roman"/>
          <w:sz w:val="28"/>
          <w:szCs w:val="28"/>
        </w:rPr>
        <w:t xml:space="preserve"> документом, решение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705E3F" w:rsidRDefault="00705E3F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</w:t>
      </w:r>
      <w:r w:rsidR="00CB0065">
        <w:rPr>
          <w:rFonts w:ascii="Times New Roman" w:hAnsi="Times New Roman" w:cs="Times New Roman"/>
          <w:sz w:val="28"/>
          <w:szCs w:val="28"/>
        </w:rPr>
        <w:t>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="00CB0065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местного бюджета.</w:t>
      </w:r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57575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части аннулирования неисполненного бюджетного обязательства.</w:t>
      </w:r>
      <w:proofErr w:type="gramEnd"/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65" w:rsidRDefault="00CB0065" w:rsidP="00CB0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65">
        <w:rPr>
          <w:rFonts w:ascii="Times New Roman" w:hAnsi="Times New Roman" w:cs="Times New Roman"/>
          <w:b/>
          <w:sz w:val="28"/>
          <w:szCs w:val="28"/>
        </w:rPr>
        <w:t>4. Постановка на учет денежных обязательств</w:t>
      </w:r>
    </w:p>
    <w:p w:rsidR="00A94074" w:rsidRPr="00A94074" w:rsidRDefault="00CB0065" w:rsidP="00A9407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Денежное обязательство  формируется органом Федерального казначейства, в момент  предоставления Распоряжения для оплаты денежного обязательства,  получатель средств местного бюджета представляет в Отдел вместе с Распоряжением указанный в нем документ - основание, подтверждающий возникновение денежного обязательства.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Перечень документов-</w:t>
      </w:r>
      <w:proofErr w:type="gramStart"/>
      <w:r w:rsidR="00A94074" w:rsidRPr="00A94074">
        <w:rPr>
          <w:rFonts w:ascii="Times New Roman" w:eastAsia="Calibri" w:hAnsi="Times New Roman" w:cs="Times New Roman"/>
          <w:sz w:val="28"/>
          <w:szCs w:val="28"/>
        </w:rPr>
        <w:t>оснований, подтверждающих возникновение денежного обязательства определен</w:t>
      </w:r>
      <w:proofErr w:type="gramEnd"/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 в Приложении №2 «Перечень документов, на основании которых возникают бюджетные обязательства получателей средств местного бюджета, и документов, подтверждающих возни</w:t>
      </w:r>
      <w:r w:rsidR="00A94074">
        <w:rPr>
          <w:rFonts w:ascii="Times New Roman" w:eastAsia="Calibri" w:hAnsi="Times New Roman" w:cs="Times New Roman"/>
          <w:sz w:val="28"/>
          <w:szCs w:val="28"/>
        </w:rPr>
        <w:t xml:space="preserve">кновение денежных обязательств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получателей средств местного бюджета».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Документ-основание направляется вместе с Распоряжением на перечисление казначейских платежей.</w:t>
      </w:r>
    </w:p>
    <w:p w:rsidR="00A94074" w:rsidRPr="00A94074" w:rsidRDefault="009E3E14" w:rsidP="00A940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Учетный номер денежного обязательства присваивается автоматически на основании  информации указанной в разделе 2 Распоряжения о перечислении казначейских платежей.  Распоряжение о перечислении казначейских платежей формируется на один документ-основание. 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 xml:space="preserve">с 1 по 19 разряд – учетный номер соответствующего бюджетного </w:t>
      </w:r>
      <w:r w:rsidRPr="00A94074">
        <w:rPr>
          <w:rFonts w:eastAsia="Calibri"/>
          <w:sz w:val="28"/>
          <w:szCs w:val="28"/>
        </w:rPr>
        <w:br/>
        <w:t>обязательства;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с 20 по 25 разряд – порядковый номер денежного обязательства.</w:t>
      </w:r>
    </w:p>
    <w:p w:rsidR="008513DC" w:rsidRDefault="009E3E14" w:rsidP="00A63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94074" w:rsidRPr="00A94074">
        <w:t xml:space="preserve"> </w:t>
      </w:r>
      <w:r w:rsidR="00A94074" w:rsidRPr="00A94074">
        <w:rPr>
          <w:rFonts w:ascii="Times New Roman" w:hAnsi="Times New Roman" w:cs="Times New Roman"/>
          <w:sz w:val="28"/>
          <w:szCs w:val="28"/>
        </w:rPr>
        <w:t>Извещение о постановке на учет денежного обязательства получателю средств Отделом не направляется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DC" w:rsidRDefault="008513DC" w:rsidP="00CB0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Pr="008513DC" w:rsidRDefault="008513DC" w:rsidP="008513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DC">
        <w:rPr>
          <w:rFonts w:ascii="Times New Roman" w:hAnsi="Times New Roman" w:cs="Times New Roman"/>
          <w:b/>
          <w:sz w:val="28"/>
          <w:szCs w:val="28"/>
        </w:rPr>
        <w:t xml:space="preserve">5. Представление информации о бюджетных и денежных обязательствах, учтенных в </w:t>
      </w:r>
      <w:r w:rsidR="00A632F3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285B39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7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</w:t>
      </w:r>
      <w:r w:rsidR="00A632F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0437E" w:rsidRDefault="00FA34BF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7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704">
        <w:rPr>
          <w:rFonts w:ascii="Times New Roman" w:hAnsi="Times New Roman" w:cs="Times New Roman"/>
          <w:sz w:val="28"/>
          <w:szCs w:val="28"/>
        </w:rPr>
        <w:t>Веселовского</w:t>
      </w:r>
      <w:r w:rsidR="001B47BA" w:rsidRPr="001B47BA">
        <w:rPr>
          <w:rFonts w:ascii="Times New Roman" w:hAnsi="Times New Roman" w:cs="Times New Roman"/>
          <w:sz w:val="28"/>
          <w:szCs w:val="28"/>
        </w:rPr>
        <w:t xml:space="preserve"> </w:t>
      </w:r>
      <w:r w:rsidRPr="001B47BA">
        <w:rPr>
          <w:rFonts w:ascii="Times New Roman" w:hAnsi="Times New Roman" w:cs="Times New Roman"/>
          <w:sz w:val="28"/>
          <w:szCs w:val="28"/>
        </w:rPr>
        <w:t>се</w:t>
      </w:r>
      <w:r w:rsidR="001B47BA" w:rsidRPr="001B47BA">
        <w:rPr>
          <w:rFonts w:ascii="Times New Roman" w:hAnsi="Times New Roman" w:cs="Times New Roman"/>
          <w:sz w:val="28"/>
          <w:szCs w:val="28"/>
        </w:rPr>
        <w:t>льского поселения Дубовского</w:t>
      </w:r>
      <w:r w:rsidR="00D0437E" w:rsidRPr="001B47BA">
        <w:rPr>
          <w:rFonts w:ascii="Times New Roman" w:hAnsi="Times New Roman" w:cs="Times New Roman"/>
          <w:sz w:val="28"/>
          <w:szCs w:val="28"/>
        </w:rPr>
        <w:t xml:space="preserve"> района –</w:t>
      </w:r>
      <w:r w:rsidR="00D0437E">
        <w:rPr>
          <w:rFonts w:ascii="Times New Roman" w:hAnsi="Times New Roman" w:cs="Times New Roman"/>
          <w:sz w:val="28"/>
          <w:szCs w:val="28"/>
        </w:rPr>
        <w:t xml:space="preserve"> по всем бюджетным и денежным обязательствам;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– в части бюджетных и денежных обязательств подведомственных им получателей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средств местного бюджета – в части бюджетных и денежных обязательств соответствующего получателя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органам муниципальной власти </w:t>
      </w:r>
      <w:r w:rsidR="00271704">
        <w:rPr>
          <w:rFonts w:ascii="Times New Roman" w:hAnsi="Times New Roman" w:cs="Times New Roman"/>
          <w:sz w:val="28"/>
          <w:szCs w:val="28"/>
        </w:rPr>
        <w:t>Веселовского</w:t>
      </w:r>
      <w:r w:rsidR="001B47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в рамках их полномочий, установленных законодательством </w:t>
      </w:r>
      <w:r w:rsidR="00271704">
        <w:rPr>
          <w:rFonts w:ascii="Times New Roman" w:hAnsi="Times New Roman" w:cs="Times New Roman"/>
          <w:sz w:val="28"/>
          <w:szCs w:val="28"/>
        </w:rPr>
        <w:t>Веселовского</w:t>
      </w:r>
      <w:r w:rsidR="001B47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 запросу Администрации </w:t>
      </w:r>
      <w:r w:rsidR="00271704">
        <w:rPr>
          <w:rFonts w:ascii="Times New Roman" w:hAnsi="Times New Roman" w:cs="Times New Roman"/>
          <w:sz w:val="28"/>
          <w:szCs w:val="28"/>
        </w:rPr>
        <w:t>Веселовского</w:t>
      </w:r>
      <w:r w:rsidR="001B47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F6">
        <w:rPr>
          <w:rFonts w:ascii="Times New Roman" w:hAnsi="Times New Roman" w:cs="Times New Roman"/>
          <w:sz w:val="28"/>
          <w:szCs w:val="28"/>
        </w:rPr>
        <w:t xml:space="preserve">на получение такой информации,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 w:rsidR="006628F6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принятых на учет бюджетных или денежных обязательствах, реквизиты которой установлены приложением 7 к Порядку Минфина России, сформированную на дату, указанную в запросе;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 запросу </w:t>
      </w:r>
      <w:r w:rsidR="001B47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704">
        <w:rPr>
          <w:rFonts w:ascii="Times New Roman" w:hAnsi="Times New Roman" w:cs="Times New Roman"/>
          <w:sz w:val="28"/>
          <w:szCs w:val="28"/>
        </w:rPr>
        <w:t>Веселовского</w:t>
      </w:r>
      <w:r w:rsidR="001B47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6D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бюджета, реквизиты которой установлены приложением 6 к Порядку Минфина России, сформированную нарастающим итогом с начала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 по состоянию на соответствующую дату;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местного бюджета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 w:rsidR="00DC6472">
        <w:rPr>
          <w:rFonts w:ascii="Times New Roman" w:hAnsi="Times New Roman" w:cs="Times New Roman"/>
          <w:sz w:val="28"/>
          <w:szCs w:val="28"/>
        </w:rPr>
        <w:t>финансового года и содержит информацию об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7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 w:rsidR="00DC6472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бюджетном обязательстве или Сведений о денежном обязательстве;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местного бюджета формирует Справку о неисполненных в отчетном финансовом году бюджетных обязательствах, реквизиты корой установлены приложением 9 к Порядку Минфина России.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неиспользованных на начало очередного финансового года</w:t>
      </w:r>
      <w:r w:rsidR="001F6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9D8">
        <w:rPr>
          <w:rFonts w:ascii="Times New Roman" w:hAnsi="Times New Roman" w:cs="Times New Roman"/>
          <w:sz w:val="28"/>
          <w:szCs w:val="28"/>
        </w:rPr>
        <w:t>остатках</w:t>
      </w:r>
      <w:proofErr w:type="gramEnd"/>
      <w:r w:rsidR="001F69D8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исполнение указанных договоров-оснований.</w:t>
      </w:r>
    </w:p>
    <w:p w:rsidR="00A632F3" w:rsidRDefault="00A632F3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1B47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704">
        <w:rPr>
          <w:rFonts w:ascii="Times New Roman" w:hAnsi="Times New Roman" w:cs="Times New Roman"/>
          <w:sz w:val="28"/>
          <w:szCs w:val="28"/>
        </w:rPr>
        <w:t>Веселовского</w:t>
      </w:r>
      <w:r w:rsidR="001B47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Отдел 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</w:t>
      </w:r>
      <w:r w:rsidR="0027170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69D8" w:rsidRDefault="001F69D8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6628F6" w:rsidRPr="00D0437E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7BA" w:rsidRDefault="001B4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Pr="0042289E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704" w:rsidRDefault="00271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3F49" w:rsidRPr="00271704" w:rsidRDefault="00E83F49" w:rsidP="002717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71704" w:rsidRPr="00271704">
        <w:rPr>
          <w:rFonts w:ascii="Times New Roman" w:hAnsi="Times New Roman" w:cs="Times New Roman"/>
          <w:sz w:val="24"/>
          <w:szCs w:val="24"/>
        </w:rPr>
        <w:t>№</w:t>
      </w:r>
      <w:r w:rsidRPr="002717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71704" w:rsidRDefault="00E83F49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>к Пор</w:t>
      </w:r>
      <w:r w:rsidR="008551B8" w:rsidRPr="00271704">
        <w:rPr>
          <w:rFonts w:ascii="Times New Roman" w:hAnsi="Times New Roman" w:cs="Times New Roman"/>
          <w:sz w:val="24"/>
          <w:szCs w:val="24"/>
        </w:rPr>
        <w:t>ядку учета бюджетных и денежных</w:t>
      </w:r>
      <w:r w:rsidR="00271704">
        <w:rPr>
          <w:rFonts w:ascii="Times New Roman" w:hAnsi="Times New Roman" w:cs="Times New Roman"/>
          <w:sz w:val="24"/>
          <w:szCs w:val="24"/>
        </w:rPr>
        <w:t xml:space="preserve"> </w:t>
      </w:r>
      <w:r w:rsidRPr="00271704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E83F49" w:rsidRPr="00271704" w:rsidRDefault="008551B8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83F49" w:rsidRPr="00271704">
        <w:rPr>
          <w:rFonts w:ascii="Times New Roman" w:hAnsi="Times New Roman" w:cs="Times New Roman"/>
          <w:sz w:val="24"/>
          <w:szCs w:val="24"/>
        </w:rPr>
        <w:t>,</w:t>
      </w:r>
      <w:r w:rsidR="0027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F49" w:rsidRPr="0027170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E83F49" w:rsidRPr="00271704">
        <w:rPr>
          <w:rFonts w:ascii="Times New Roman" w:hAnsi="Times New Roman" w:cs="Times New Roman"/>
          <w:sz w:val="24"/>
          <w:szCs w:val="24"/>
        </w:rPr>
        <w:t xml:space="preserve"> </w:t>
      </w:r>
      <w:r w:rsidR="001B47BA" w:rsidRPr="0027170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8551B8" w:rsidRPr="00271704" w:rsidRDefault="00271704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>Веселовского</w:t>
      </w:r>
      <w:r w:rsidR="001B47BA" w:rsidRPr="002717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3F49" w:rsidRPr="00271704" w:rsidRDefault="00E83F49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 xml:space="preserve">от </w:t>
      </w:r>
      <w:r w:rsidR="00271704" w:rsidRPr="00271704">
        <w:rPr>
          <w:rFonts w:ascii="Times New Roman" w:hAnsi="Times New Roman" w:cs="Times New Roman"/>
          <w:sz w:val="24"/>
          <w:szCs w:val="24"/>
        </w:rPr>
        <w:t>30</w:t>
      </w:r>
      <w:r w:rsidRPr="00271704">
        <w:rPr>
          <w:rFonts w:ascii="Times New Roman" w:hAnsi="Times New Roman" w:cs="Times New Roman"/>
          <w:sz w:val="24"/>
          <w:szCs w:val="24"/>
        </w:rPr>
        <w:t>.1</w:t>
      </w:r>
      <w:r w:rsidR="0099653C" w:rsidRPr="00271704">
        <w:rPr>
          <w:rFonts w:ascii="Times New Roman" w:hAnsi="Times New Roman" w:cs="Times New Roman"/>
          <w:sz w:val="24"/>
          <w:szCs w:val="24"/>
        </w:rPr>
        <w:t>2</w:t>
      </w:r>
      <w:r w:rsidRPr="00271704">
        <w:rPr>
          <w:rFonts w:ascii="Times New Roman" w:hAnsi="Times New Roman" w:cs="Times New Roman"/>
          <w:sz w:val="24"/>
          <w:szCs w:val="24"/>
        </w:rPr>
        <w:t>.202</w:t>
      </w:r>
      <w:r w:rsidR="0099653C" w:rsidRPr="00271704">
        <w:rPr>
          <w:rFonts w:ascii="Times New Roman" w:hAnsi="Times New Roman" w:cs="Times New Roman"/>
          <w:sz w:val="24"/>
          <w:szCs w:val="24"/>
        </w:rPr>
        <w:t>1</w:t>
      </w:r>
      <w:r w:rsidRPr="00271704">
        <w:rPr>
          <w:rFonts w:ascii="Times New Roman" w:hAnsi="Times New Roman" w:cs="Times New Roman"/>
          <w:sz w:val="24"/>
          <w:szCs w:val="24"/>
        </w:rPr>
        <w:t xml:space="preserve"> N </w:t>
      </w:r>
      <w:r w:rsidR="00271704" w:rsidRPr="00271704">
        <w:rPr>
          <w:rFonts w:ascii="Times New Roman" w:hAnsi="Times New Roman" w:cs="Times New Roman"/>
          <w:sz w:val="24"/>
          <w:szCs w:val="24"/>
        </w:rPr>
        <w:t>104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1"/>
      <w:bookmarkEnd w:id="2"/>
      <w:r w:rsidRPr="0042289E">
        <w:rPr>
          <w:rFonts w:ascii="Times New Roman" w:hAnsi="Times New Roman" w:cs="Times New Roman"/>
          <w:sz w:val="28"/>
          <w:szCs w:val="28"/>
        </w:rPr>
        <w:t>Реквизиты</w:t>
      </w:r>
    </w:p>
    <w:p w:rsidR="00E83F49" w:rsidRPr="0042289E" w:rsidRDefault="00E83F49" w:rsidP="00271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E83F49" w:rsidRPr="0042289E" w:rsidTr="00B2178C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85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855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бюджетном обязательстве получателем бюджетных средств.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4. Тип бюджетного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код типа бюджетного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обязательства, исходя из следующего: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E83F49" w:rsidRPr="0042289E" w:rsidRDefault="00E83F49" w:rsidP="00855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информационной системе.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967E8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71704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263A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99653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4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5.4. Финансовый орган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9B2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704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9B2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Код по ОКПО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01"/>
            <w:bookmarkEnd w:id="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05"/>
            <w:bookmarkEnd w:id="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6162" w:type="dxa"/>
          </w:tcPr>
          <w:p w:rsidR="00E83F49" w:rsidRPr="0042289E" w:rsidRDefault="00E83F49" w:rsidP="00587A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587A6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- КОФК)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5.11. Номер лицевого счета получателя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15"/>
            <w:bookmarkEnd w:id="5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Наименование нормативного правового акта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21"/>
            <w:bookmarkEnd w:id="6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25"/>
            <w:bookmarkEnd w:id="7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435F9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E279D9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1"/>
            <w:bookmarkEnd w:id="8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6.7. Признак казначейского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признак казначейского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сопровождения "Да" - в случае осуществления </w:t>
            </w:r>
            <w:r w:rsidR="008138D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Идентификатор</w:t>
            </w:r>
          </w:p>
        </w:tc>
        <w:tc>
          <w:tcPr>
            <w:tcW w:w="6162" w:type="dxa"/>
          </w:tcPr>
          <w:p w:rsidR="00E83F49" w:rsidRPr="0007082C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07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E83F49" w:rsidRPr="0042289E" w:rsidRDefault="00E83F49" w:rsidP="003208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информацией о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0"/>
            <w:bookmarkEnd w:id="9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6.10. Сумма в валюте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не определена, указывается сумма, рассчитанная получателем средств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бюджета, с приложением соответствующего расчета.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контрагентам, указанным в разделе 2 Сведений о бюджетном обязательстве.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4"/>
            <w:bookmarkEnd w:id="10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валюты по </w:t>
            </w:r>
            <w:hyperlink r:id="rId6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7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8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E83F49" w:rsidRPr="0042289E" w:rsidRDefault="00E83F49" w:rsidP="009509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9F77AE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0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Сумма в валюте Российской Федерации включает в себя сумму исполненного обязательства прошлых лет, а также сумму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на текущий год и последующие годы.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6.18.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7.1.Наименование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73"/>
            <w:bookmarkEnd w:id="11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6"/>
            <w:bookmarkEnd w:id="12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7.3. Код причины постановки на учет в налоговом органе (КПП)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(при наличии).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73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76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83"/>
            <w:bookmarkEnd w:id="1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7.5. Номер лицевого счета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(раздела на лицевом счете)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если операции по исполнению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направленных на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8.3 Наименование вида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8.4. Код по БК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E83F49" w:rsidRPr="0042289E" w:rsidRDefault="00E83F49" w:rsidP="003D1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значение "условное" по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B0F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8.10. Дата выплаты по исполнительному документу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E83F49" w:rsidRPr="00271704" w:rsidRDefault="00E83F49" w:rsidP="002717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DF5CE2" w:rsidRPr="00271704">
        <w:rPr>
          <w:rFonts w:ascii="Times New Roman" w:hAnsi="Times New Roman" w:cs="Times New Roman"/>
          <w:sz w:val="24"/>
          <w:szCs w:val="24"/>
        </w:rPr>
        <w:t>2</w:t>
      </w:r>
    </w:p>
    <w:p w:rsidR="00E83F49" w:rsidRPr="00271704" w:rsidRDefault="00E83F49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271704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271704"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E83F49" w:rsidRPr="00271704" w:rsidRDefault="00E83F49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  <w:r w:rsidR="00271704">
        <w:rPr>
          <w:rFonts w:ascii="Times New Roman" w:hAnsi="Times New Roman" w:cs="Times New Roman"/>
          <w:sz w:val="24"/>
          <w:szCs w:val="24"/>
        </w:rPr>
        <w:t xml:space="preserve"> </w:t>
      </w:r>
      <w:r w:rsidR="007C01B0" w:rsidRPr="00271704">
        <w:rPr>
          <w:rFonts w:ascii="Times New Roman" w:hAnsi="Times New Roman" w:cs="Times New Roman"/>
          <w:sz w:val="24"/>
          <w:szCs w:val="24"/>
        </w:rPr>
        <w:t>местного</w:t>
      </w:r>
      <w:r w:rsidRPr="00271704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1B47BA" w:rsidRPr="00271704" w:rsidRDefault="001B47BA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536"/>
      <w:bookmarkEnd w:id="14"/>
      <w:proofErr w:type="gramStart"/>
      <w:r w:rsidRPr="0027170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71704">
        <w:rPr>
          <w:rFonts w:ascii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1B47BA" w:rsidRPr="00271704" w:rsidRDefault="00271704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>Веселовского</w:t>
      </w:r>
      <w:r w:rsidR="001B47BA" w:rsidRPr="002717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47BA" w:rsidRPr="00271704" w:rsidRDefault="001B47BA" w:rsidP="00271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704">
        <w:rPr>
          <w:rFonts w:ascii="Times New Roman" w:hAnsi="Times New Roman" w:cs="Times New Roman"/>
          <w:sz w:val="24"/>
          <w:szCs w:val="24"/>
        </w:rPr>
        <w:t xml:space="preserve">от </w:t>
      </w:r>
      <w:r w:rsidR="00271704">
        <w:rPr>
          <w:rFonts w:ascii="Times New Roman" w:hAnsi="Times New Roman" w:cs="Times New Roman"/>
          <w:sz w:val="24"/>
          <w:szCs w:val="24"/>
        </w:rPr>
        <w:t>30</w:t>
      </w:r>
      <w:r w:rsidRPr="00271704">
        <w:rPr>
          <w:rFonts w:ascii="Times New Roman" w:hAnsi="Times New Roman" w:cs="Times New Roman"/>
          <w:sz w:val="24"/>
          <w:szCs w:val="24"/>
        </w:rPr>
        <w:t xml:space="preserve">.12.2021 </w:t>
      </w:r>
      <w:bookmarkStart w:id="15" w:name="_GoBack"/>
      <w:bookmarkEnd w:id="15"/>
      <w:r w:rsidR="00271704">
        <w:rPr>
          <w:rFonts w:ascii="Times New Roman" w:hAnsi="Times New Roman" w:cs="Times New Roman"/>
          <w:sz w:val="24"/>
          <w:szCs w:val="24"/>
        </w:rPr>
        <w:t>№104</w:t>
      </w:r>
    </w:p>
    <w:p w:rsidR="0014476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44769" w:rsidRPr="0042289E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20"/>
      </w:tblGrid>
      <w:tr w:rsidR="007C28D0" w:rsidRPr="0042289E" w:rsidTr="0005270B">
        <w:tc>
          <w:tcPr>
            <w:tcW w:w="5387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820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7C28D0" w:rsidRPr="0042289E" w:rsidTr="0005270B">
        <w:tc>
          <w:tcPr>
            <w:tcW w:w="5387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46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47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8D0" w:rsidRPr="0042289E" w:rsidTr="0005270B">
        <w:tc>
          <w:tcPr>
            <w:tcW w:w="5387" w:type="dxa"/>
            <w:vMerge w:val="restart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58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1.Муниципальный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Товарная накладная (</w:t>
            </w:r>
            <w:r w:rsidRPr="00C41044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унифицированная </w:t>
            </w:r>
            <w:hyperlink r:id="rId9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7C28D0" w:rsidRPr="0042289E" w:rsidTr="0005270B">
        <w:tc>
          <w:tcPr>
            <w:tcW w:w="5387" w:type="dxa"/>
            <w:vMerge w:val="restart"/>
          </w:tcPr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71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(далее - договор), за исключением договоров, указанных в </w:t>
            </w:r>
            <w:r w:rsidRPr="009655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пункте насто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ящего перечня</w:t>
            </w: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0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C28D0" w:rsidRPr="0042289E" w:rsidTr="0005270B">
        <w:trPr>
          <w:trHeight w:val="1164"/>
        </w:trPr>
        <w:tc>
          <w:tcPr>
            <w:tcW w:w="5387" w:type="dxa"/>
            <w:vMerge w:val="restart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84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межбюджетного трансферта в форме субсидии, субвенции, иного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820" w:type="dxa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C28D0" w:rsidRPr="0042289E" w:rsidTr="0005270B">
        <w:trPr>
          <w:trHeight w:val="3007"/>
        </w:trPr>
        <w:tc>
          <w:tcPr>
            <w:tcW w:w="5387" w:type="dxa"/>
            <w:vMerge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соглашения о предоставлении межбюджетного трансферта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1" w:history="1">
              <w:r w:rsidRPr="008719B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8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0C7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исполнению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7C28D0" w:rsidRPr="0042289E" w:rsidTr="0005270B">
        <w:tc>
          <w:tcPr>
            <w:tcW w:w="5387" w:type="dxa"/>
            <w:vMerge w:val="restart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4820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о перечислении межбюджетного трансферта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бюджету сельского поселения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Распоряжение, необходимое для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2" w:history="1">
              <w:r w:rsidRPr="00D6471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C28D0" w:rsidRPr="0042289E" w:rsidTr="0005270B">
        <w:tc>
          <w:tcPr>
            <w:tcW w:w="5387" w:type="dxa"/>
            <w:vMerge w:val="restart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597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820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  <w:hyperlink r:id="rId13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4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F9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05270B">
        <w:tc>
          <w:tcPr>
            <w:tcW w:w="5387" w:type="dxa"/>
            <w:vMerge w:val="restart"/>
            <w:tcBorders>
              <w:bottom w:val="nil"/>
            </w:tcBorders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03"/>
            <w:bookmarkEnd w:id="22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5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(ф. 0330212)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05270B">
        <w:tblPrEx>
          <w:tblBorders>
            <w:insideH w:val="nil"/>
          </w:tblBorders>
        </w:tblPrEx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фактически произведенные расходы (недополученные доходы) в соответствии с порядком (правилами) предоставления субсидии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C28D0" w:rsidRPr="0042289E" w:rsidTr="0005270B">
        <w:tblPrEx>
          <w:tblBorders>
            <w:insideH w:val="nil"/>
          </w:tblBorders>
        </w:tblPrEx>
        <w:tc>
          <w:tcPr>
            <w:tcW w:w="5387" w:type="dxa"/>
            <w:vMerge w:val="restart"/>
            <w:tcBorders>
              <w:top w:val="nil"/>
            </w:tcBorders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42289E" w:rsidTr="0005270B">
        <w:tc>
          <w:tcPr>
            <w:tcW w:w="538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6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7C28D0" w:rsidRPr="0042289E" w:rsidTr="0005270B">
        <w:tc>
          <w:tcPr>
            <w:tcW w:w="538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624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фактически произведенные расходы (недополученные доходы) в соответствии с порядком (правилами) предоставления субсидии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юридическому лицу;</w:t>
            </w:r>
          </w:p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EB608B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7" w:history="1">
              <w:r w:rsidRPr="00EB608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EB60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7C28D0" w:rsidRPr="0042289E" w:rsidTr="0005270B">
        <w:tc>
          <w:tcPr>
            <w:tcW w:w="538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633"/>
            <w:bookmarkEnd w:id="2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Записка-расчет об исчислении среднего заработка при предоставлении отпуска, увольнении и других </w:t>
            </w:r>
            <w:r w:rsidRPr="00073832">
              <w:rPr>
                <w:rFonts w:ascii="Times New Roman" w:hAnsi="Times New Roman" w:cs="Times New Roman"/>
                <w:sz w:val="28"/>
                <w:szCs w:val="28"/>
              </w:rPr>
              <w:t xml:space="preserve">случаях </w:t>
            </w:r>
            <w:hyperlink r:id="rId18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19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20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службе Российской Федерации</w:t>
            </w:r>
          </w:p>
        </w:tc>
      </w:tr>
      <w:tr w:rsidR="007C28D0" w:rsidRPr="0042289E" w:rsidTr="0005270B">
        <w:tc>
          <w:tcPr>
            <w:tcW w:w="538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39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</w:t>
            </w:r>
            <w:r w:rsidRPr="00ED431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hyperlink r:id="rId21" w:history="1">
              <w:r w:rsidRPr="00ED431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7C28D0" w:rsidRPr="0042289E" w:rsidTr="0005270B">
        <w:tc>
          <w:tcPr>
            <w:tcW w:w="538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46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2" w:history="1">
              <w:r w:rsidRPr="00057FC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05270B">
        <w:tc>
          <w:tcPr>
            <w:tcW w:w="538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28D0" w:rsidRPr="0042289E" w:rsidRDefault="007C28D0" w:rsidP="00057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7C28D0" w:rsidRPr="0042289E" w:rsidTr="0005270B">
        <w:trPr>
          <w:trHeight w:val="326"/>
        </w:trPr>
        <w:tc>
          <w:tcPr>
            <w:tcW w:w="5387" w:type="dxa"/>
            <w:vMerge w:val="restart"/>
            <w:tcBorders>
              <w:bottom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52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557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8244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645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  <w:proofErr w:type="gramEnd"/>
          </w:p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Федеральное казначейство не направлены информация и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по указанному договору для их включения в реестр контрактов;</w:t>
            </w:r>
          </w:p>
        </w:tc>
        <w:tc>
          <w:tcPr>
            <w:tcW w:w="4820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расчет (ф.0504505)</w:t>
            </w:r>
          </w:p>
        </w:tc>
      </w:tr>
      <w:tr w:rsidR="007C28D0" w:rsidRPr="0042289E" w:rsidTr="0005270B">
        <w:trPr>
          <w:trHeight w:val="326"/>
        </w:trPr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7C28D0" w:rsidRPr="0042289E" w:rsidTr="0005270B">
        <w:trPr>
          <w:trHeight w:val="263"/>
        </w:trPr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05270B">
        <w:tblPrEx>
          <w:tblBorders>
            <w:insideH w:val="nil"/>
          </w:tblBorders>
        </w:tblPrEx>
        <w:trPr>
          <w:trHeight w:val="322"/>
        </w:trPr>
        <w:tc>
          <w:tcPr>
            <w:tcW w:w="538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05270B">
        <w:trPr>
          <w:trHeight w:val="157"/>
        </w:trPr>
        <w:tc>
          <w:tcPr>
            <w:tcW w:w="5387" w:type="dxa"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3533C6" w:rsidTr="0005270B">
        <w:tblPrEx>
          <w:tblBorders>
            <w:insideH w:val="nil"/>
          </w:tblBorders>
        </w:tblPrEx>
        <w:tc>
          <w:tcPr>
            <w:tcW w:w="5387" w:type="dxa"/>
            <w:vMerge w:val="restart"/>
            <w:tcBorders>
              <w:top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 эмиссия и обращения государственных ценных бумаг Российской Федерации;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суда о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(договора);</w:t>
            </w:r>
          </w:p>
          <w:p w:rsidR="007C28D0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контрактов. </w:t>
            </w:r>
          </w:p>
          <w:p w:rsidR="007C28D0" w:rsidRPr="0042289E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Иной документ, в соответствии с которым возникает бюджетное обязательство получателя средств местного бюджета, в том числе представляемый для оплаты в иностранной валюте</w:t>
            </w:r>
          </w:p>
        </w:tc>
        <w:tc>
          <w:tcPr>
            <w:tcW w:w="4820" w:type="dxa"/>
          </w:tcPr>
          <w:p w:rsidR="007C28D0" w:rsidRPr="003533C6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C6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23" w:history="1">
              <w:r w:rsidRPr="003533C6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3533C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05270B">
        <w:tc>
          <w:tcPr>
            <w:tcW w:w="538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8D0" w:rsidRPr="0042289E" w:rsidRDefault="007C28D0" w:rsidP="003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представляемый для оплаты в иностранной валюте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B4" w:rsidRDefault="00F064B4"/>
    <w:sectPr w:rsidR="00F064B4" w:rsidSect="00271704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49"/>
    <w:rsid w:val="00011B46"/>
    <w:rsid w:val="000457E3"/>
    <w:rsid w:val="0005270B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734"/>
    <w:rsid w:val="00132E02"/>
    <w:rsid w:val="00144769"/>
    <w:rsid w:val="001B47BA"/>
    <w:rsid w:val="001C3748"/>
    <w:rsid w:val="001F69D8"/>
    <w:rsid w:val="00213560"/>
    <w:rsid w:val="00226B38"/>
    <w:rsid w:val="00234C49"/>
    <w:rsid w:val="00236FF5"/>
    <w:rsid w:val="00241381"/>
    <w:rsid w:val="00243605"/>
    <w:rsid w:val="00246D7D"/>
    <w:rsid w:val="00263A6A"/>
    <w:rsid w:val="00271704"/>
    <w:rsid w:val="00285B39"/>
    <w:rsid w:val="002B440B"/>
    <w:rsid w:val="002C6DBB"/>
    <w:rsid w:val="002C712E"/>
    <w:rsid w:val="00300B8B"/>
    <w:rsid w:val="00307EBB"/>
    <w:rsid w:val="003208DD"/>
    <w:rsid w:val="00325A5B"/>
    <w:rsid w:val="003345E8"/>
    <w:rsid w:val="00341F6C"/>
    <w:rsid w:val="003533C6"/>
    <w:rsid w:val="00361D28"/>
    <w:rsid w:val="003D1BC2"/>
    <w:rsid w:val="003D1D07"/>
    <w:rsid w:val="00413C18"/>
    <w:rsid w:val="00417801"/>
    <w:rsid w:val="0042289E"/>
    <w:rsid w:val="00435F9B"/>
    <w:rsid w:val="004775FB"/>
    <w:rsid w:val="004942B4"/>
    <w:rsid w:val="00496EBF"/>
    <w:rsid w:val="004A739A"/>
    <w:rsid w:val="004B0FCD"/>
    <w:rsid w:val="004C3B9E"/>
    <w:rsid w:val="004E0F22"/>
    <w:rsid w:val="00510629"/>
    <w:rsid w:val="00537477"/>
    <w:rsid w:val="00561C1A"/>
    <w:rsid w:val="0057525C"/>
    <w:rsid w:val="00575755"/>
    <w:rsid w:val="00587A6E"/>
    <w:rsid w:val="005C41F6"/>
    <w:rsid w:val="006327F4"/>
    <w:rsid w:val="006628F6"/>
    <w:rsid w:val="006A669A"/>
    <w:rsid w:val="006B21FC"/>
    <w:rsid w:val="006C7135"/>
    <w:rsid w:val="00705E3F"/>
    <w:rsid w:val="0072542C"/>
    <w:rsid w:val="00775DE0"/>
    <w:rsid w:val="00791351"/>
    <w:rsid w:val="00794F3D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35E82"/>
    <w:rsid w:val="008468CF"/>
    <w:rsid w:val="008513DC"/>
    <w:rsid w:val="008551B8"/>
    <w:rsid w:val="008719BD"/>
    <w:rsid w:val="008778FA"/>
    <w:rsid w:val="008853AA"/>
    <w:rsid w:val="00895F30"/>
    <w:rsid w:val="009003AF"/>
    <w:rsid w:val="009046C3"/>
    <w:rsid w:val="00940D8F"/>
    <w:rsid w:val="0095090D"/>
    <w:rsid w:val="00960BE2"/>
    <w:rsid w:val="009635D6"/>
    <w:rsid w:val="009655AF"/>
    <w:rsid w:val="00967E82"/>
    <w:rsid w:val="00992A8C"/>
    <w:rsid w:val="0099653C"/>
    <w:rsid w:val="009B2B3A"/>
    <w:rsid w:val="009C1369"/>
    <w:rsid w:val="009E3E14"/>
    <w:rsid w:val="009E48A6"/>
    <w:rsid w:val="009F2D23"/>
    <w:rsid w:val="009F77AE"/>
    <w:rsid w:val="00A065F0"/>
    <w:rsid w:val="00A13D30"/>
    <w:rsid w:val="00A4230F"/>
    <w:rsid w:val="00A46A27"/>
    <w:rsid w:val="00A632F3"/>
    <w:rsid w:val="00A72B1A"/>
    <w:rsid w:val="00A94074"/>
    <w:rsid w:val="00AA2A72"/>
    <w:rsid w:val="00AC325D"/>
    <w:rsid w:val="00AC583D"/>
    <w:rsid w:val="00AC5F3E"/>
    <w:rsid w:val="00AE0738"/>
    <w:rsid w:val="00AF7A43"/>
    <w:rsid w:val="00B2178C"/>
    <w:rsid w:val="00B316ED"/>
    <w:rsid w:val="00B42BB2"/>
    <w:rsid w:val="00B60949"/>
    <w:rsid w:val="00B74614"/>
    <w:rsid w:val="00BD171E"/>
    <w:rsid w:val="00BE1755"/>
    <w:rsid w:val="00C04112"/>
    <w:rsid w:val="00C0442B"/>
    <w:rsid w:val="00C41044"/>
    <w:rsid w:val="00C535B1"/>
    <w:rsid w:val="00C94EE8"/>
    <w:rsid w:val="00CB0065"/>
    <w:rsid w:val="00CF3FC5"/>
    <w:rsid w:val="00D0437E"/>
    <w:rsid w:val="00D44539"/>
    <w:rsid w:val="00D6471D"/>
    <w:rsid w:val="00D67339"/>
    <w:rsid w:val="00D9132F"/>
    <w:rsid w:val="00D91CED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83F49"/>
    <w:rsid w:val="00EB608B"/>
    <w:rsid w:val="00ED4312"/>
    <w:rsid w:val="00EF356A"/>
    <w:rsid w:val="00F064B4"/>
    <w:rsid w:val="00F10150"/>
    <w:rsid w:val="00F226AA"/>
    <w:rsid w:val="00F42B7B"/>
    <w:rsid w:val="00F61F80"/>
    <w:rsid w:val="00F70E1A"/>
    <w:rsid w:val="00F91F68"/>
    <w:rsid w:val="00F92ED9"/>
    <w:rsid w:val="00FA34BF"/>
    <w:rsid w:val="00FB12F2"/>
    <w:rsid w:val="00FB1352"/>
    <w:rsid w:val="00FE109E"/>
    <w:rsid w:val="00FE13DB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A6A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63A6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Без интервала Знак"/>
    <w:link w:val="a6"/>
    <w:uiPriority w:val="1"/>
    <w:locked/>
    <w:rsid w:val="002717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D18142E17F047A8D9E6AD87CE6A49A6A212767049CECA26D62F0F69B09B24A429A73BBI1Y2F" TargetMode="External"/><Relationship Id="rId13" Type="http://schemas.openxmlformats.org/officeDocument/2006/relationships/hyperlink" Target="consultantplus://offline/ref=1CC99B4EC4DC8973C55FD18142E17F047A81936EDD78E6A49A6A212767049CECB06D3AF9F49B1CE71A18CD7EB81203BBED3B780475I9Y2F" TargetMode="External"/><Relationship Id="rId18" Type="http://schemas.openxmlformats.org/officeDocument/2006/relationships/hyperlink" Target="consultantplus://offline/ref=1CC99B4EC4DC8973C55FD18142E17F047A8F946DD87BE6A49A6A212767049CECB06D3AFCF79B1FB44357CC22FD4610BBED3B7B056991FD5CIFY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7" Type="http://schemas.openxmlformats.org/officeDocument/2006/relationships/hyperlink" Target="consultantplus://offline/ref=1CC99B4EC4DC8973C55FD18142E17F047A8D9E6AD87CE6A49A6A212767049CECA26D62F0F69B09B24A429A73BBI1Y2F" TargetMode="External"/><Relationship Id="rId12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7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0" Type="http://schemas.openxmlformats.org/officeDocument/2006/relationships/hyperlink" Target="consultantplus://offline/ref=1CC99B4EC4DC8973C55FD18142E17F047A8F946DD87BE6A49A6A212767049CECB06D3AFCF79B13B44C57CC22FD4610BBED3B7B056991FD5CIFY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99B4EC4DC8973C55FD18142E17F047A8D9E6AD87CE6A49A6A212767049CECA26D62F0F69B09B24A429A73BBI1Y2F" TargetMode="External"/><Relationship Id="rId11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CC99B4EC4DC8973C55FD18142E17F04788D9F62DB7DE6A49A6A212767049CECA26D62F0F69B09B24A429A73BBI1Y2F" TargetMode="External"/><Relationship Id="rId15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3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0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9" Type="http://schemas.openxmlformats.org/officeDocument/2006/relationships/hyperlink" Target="consultantplus://offline/ref=1CC99B4EC4DC8973C55FD18142E17F047A8F946DD87BE6A49A6A212767049CECB06D3AFCF79B14B44F57CC22FD4610BBED3B7B056991FD5CIFY8F" TargetMode="External"/><Relationship Id="rId4" Type="http://schemas.openxmlformats.org/officeDocument/2006/relationships/hyperlink" Target="consultantplus://offline/ref=1CC99B4EC4DC8973C55FD18142E17F04788D9F62DB7DE6A49A6A212767049CECA26D62F0F69B09B24A429A73BBI1Y2F" TargetMode="External"/><Relationship Id="rId9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4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2" Type="http://schemas.openxmlformats.org/officeDocument/2006/relationships/hyperlink" Target="consultantplus://offline/ref=1CC99B4EC4DC8973C55FD18142E17F047A8F946DD87BE6A49A6A212767049CECB06D3AFCF79814B54E57CC22FD4610BBED3B7B056991FD5CIF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9709</Words>
  <Characters>55343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</cp:lastModifiedBy>
  <cp:revision>3</cp:revision>
  <cp:lastPrinted>2021-12-30T11:49:00Z</cp:lastPrinted>
  <dcterms:created xsi:type="dcterms:W3CDTF">2022-01-14T09:46:00Z</dcterms:created>
  <dcterms:modified xsi:type="dcterms:W3CDTF">2022-01-14T10:42:00Z</dcterms:modified>
</cp:coreProperties>
</file>